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宋体" w:hAnsi="宋体" w:cs="宋体"/>
          <w:kern w:val="0"/>
          <w:sz w:val="32"/>
          <w:szCs w:val="32"/>
        </w:rPr>
      </w:pP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宋体" w:hAnsi="宋体" w:cs="宋体"/>
          <w:bCs/>
          <w:kern w:val="0"/>
          <w:sz w:val="32"/>
          <w:szCs w:val="32"/>
        </w:rPr>
      </w:pPr>
      <w:r>
        <w:rPr>
          <w:rFonts w:hint="eastAsia" w:ascii="宋体" w:hAnsi="宋体" w:cs="宋体"/>
          <w:bCs/>
          <w:kern w:val="0"/>
          <w:sz w:val="32"/>
          <w:szCs w:val="32"/>
        </w:rPr>
        <w:t>部门整体支出绩效评价指标评分表</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left"/>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“三公经费”变动率=[（本年度“三公经费”总额-上年度“三公经费”总额）/上年度“三公经费”总额]×100%。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重点支出安排率=（重点项目支出/项目总支出）×100%</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top"/>
          </w:tcPr>
          <w:p>
            <w:pPr>
              <w:widowControl/>
              <w:jc w:val="center"/>
              <w:rPr>
                <w:rFonts w:ascii="宋体" w:hAnsi="宋体" w:cs="宋体"/>
                <w:kern w:val="0"/>
                <w:sz w:val="24"/>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top"/>
          </w:tcPr>
          <w:p>
            <w:pPr>
              <w:widowControl/>
              <w:jc w:val="left"/>
              <w:rPr>
                <w:rFonts w:hint="eastAsia" w:ascii="仿宋_GB2312" w:hAnsi="宋体" w:eastAsia="仿宋_GB2312" w:cs="宋体"/>
                <w:kern w:val="0"/>
                <w:sz w:val="20"/>
                <w:szCs w:val="20"/>
              </w:rPr>
            </w:pPr>
          </w:p>
        </w:tc>
        <w:tc>
          <w:tcPr>
            <w:tcW w:w="617" w:type="dxa"/>
            <w:noWrap w:val="0"/>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top"/>
          </w:tcPr>
          <w:p>
            <w:pPr>
              <w:widowControl/>
              <w:jc w:val="left"/>
              <w:rPr>
                <w:rFonts w:hint="eastAsia" w:ascii="仿宋_GB2312" w:hAnsi="宋体" w:eastAsia="仿宋_GB2312" w:cs="宋体"/>
                <w:kern w:val="0"/>
                <w:sz w:val="20"/>
                <w:szCs w:val="20"/>
              </w:rPr>
            </w:pPr>
          </w:p>
        </w:tc>
        <w:tc>
          <w:tcPr>
            <w:tcW w:w="429" w:type="dxa"/>
            <w:vMerge w:val="continue"/>
            <w:noWrap w:val="0"/>
            <w:vAlign w:val="top"/>
          </w:tcPr>
          <w:p>
            <w:pPr>
              <w:widowControl/>
              <w:jc w:val="left"/>
              <w:rPr>
                <w:rFonts w:hint="eastAsia" w:ascii="仿宋_GB2312" w:hAnsi="宋体" w:eastAsia="仿宋_GB2312" w:cs="宋体"/>
                <w:kern w:val="0"/>
                <w:sz w:val="20"/>
                <w:szCs w:val="20"/>
              </w:rPr>
            </w:pPr>
          </w:p>
        </w:tc>
        <w:tc>
          <w:tcPr>
            <w:tcW w:w="567" w:type="dxa"/>
            <w:vMerge w:val="continue"/>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ascii="仿宋_GB2312" w:hAnsi="宋体" w:eastAsia="仿宋_GB2312" w:cs="宋体"/>
                <w:kern w:val="0"/>
                <w:sz w:val="20"/>
                <w:szCs w:val="20"/>
              </w:rPr>
              <w:t>201</w:t>
            </w:r>
            <w:r>
              <w:rPr>
                <w:rFonts w:hint="eastAsia" w:ascii="仿宋_GB2312" w:hAnsi="宋体" w:eastAsia="仿宋_GB2312" w:cs="宋体"/>
                <w:kern w:val="0"/>
                <w:sz w:val="20"/>
                <w:szCs w:val="20"/>
                <w:lang w:val="en-US" w:eastAsia="zh-CN"/>
              </w:rPr>
              <w:t>9</w:t>
            </w:r>
            <w:r>
              <w:rPr>
                <w:rFonts w:hint="eastAsia" w:ascii="仿宋_GB2312" w:hAnsi="宋体" w:eastAsia="仿宋_GB2312" w:cs="宋体"/>
                <w:kern w:val="0"/>
                <w:sz w:val="20"/>
                <w:szCs w:val="20"/>
              </w:rPr>
              <w:t>年度非税实际收入完成数/</w:t>
            </w:r>
            <w:r>
              <w:rPr>
                <w:rFonts w:ascii="仿宋_GB2312" w:hAnsi="宋体" w:eastAsia="仿宋_GB2312" w:cs="宋体"/>
                <w:kern w:val="0"/>
                <w:sz w:val="20"/>
                <w:szCs w:val="20"/>
              </w:rPr>
              <w:t>201</w:t>
            </w:r>
            <w:r>
              <w:rPr>
                <w:rFonts w:hint="eastAsia" w:ascii="仿宋_GB2312" w:hAnsi="宋体" w:eastAsia="仿宋_GB2312" w:cs="宋体"/>
                <w:kern w:val="0"/>
                <w:sz w:val="20"/>
                <w:szCs w:val="20"/>
                <w:lang w:val="en-US" w:eastAsia="zh-CN"/>
              </w:rPr>
              <w:t>9</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5" w:hRule="atLeast"/>
          <w:jc w:val="center"/>
        </w:trPr>
        <w:tc>
          <w:tcPr>
            <w:tcW w:w="411" w:type="dxa"/>
            <w:vMerge w:val="restart"/>
            <w:noWrap w:val="0"/>
            <w:textDirection w:val="tbRlV"/>
            <w:vAlign w:val="top"/>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widowControl/>
              <w:jc w:val="left"/>
              <w:rPr>
                <w:rFonts w:hint="eastAsia" w:ascii="仿宋_GB2312" w:hAnsi="宋体" w:eastAsia="仿宋_GB2312" w:cs="宋体"/>
                <w:kern w:val="0"/>
                <w:sz w:val="20"/>
                <w:szCs w:val="20"/>
              </w:rPr>
            </w:pPr>
          </w:p>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完成率&lt;1，计2分，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完成率=1，计1分，</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完成率&gt;1，不得分。</w:t>
            </w:r>
          </w:p>
          <w:p>
            <w:pPr>
              <w:widowControl/>
              <w:jc w:val="center"/>
              <w:rPr>
                <w:rFonts w:hint="eastAsia" w:ascii="仿宋_GB2312" w:hAnsi="宋体" w:eastAsia="仿宋_GB2312" w:cs="宋体"/>
                <w:kern w:val="0"/>
                <w:sz w:val="20"/>
                <w:szCs w:val="20"/>
              </w:rPr>
            </w:pPr>
          </w:p>
        </w:tc>
        <w:tc>
          <w:tcPr>
            <w:tcW w:w="3472" w:type="dxa"/>
            <w:noWrap w:val="0"/>
            <w:vAlign w:val="center"/>
          </w:tcPr>
          <w:p>
            <w:pPr>
              <w:autoSpaceDN w:val="0"/>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top"/>
          </w:tcPr>
          <w:p>
            <w:pPr>
              <w:widowControl/>
              <w:jc w:val="center"/>
              <w:rPr>
                <w:rFonts w:hint="eastAsia" w:ascii="宋体" w:hAnsi="宋体" w:eastAsia="宋体" w:cs="宋体"/>
                <w:kern w:val="0"/>
                <w:sz w:val="24"/>
                <w:highlight w:val="yellow"/>
                <w:lang w:val="en-US" w:eastAsia="zh-CN"/>
              </w:rPr>
            </w:pPr>
            <w:r>
              <w:rPr>
                <w:rFonts w:hint="eastAsia" w:ascii="宋体" w:hAnsi="宋体" w:cs="宋体"/>
                <w:kern w:val="0"/>
                <w:sz w:val="24"/>
                <w:highlight w:val="yellow"/>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9"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结余超过10%（不含），2分；结余在0-10%（含）的，1分；本年超支不得分。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right w:val="single" w:color="auto" w:sz="4" w:space="0"/>
            </w:tcBorders>
            <w:noWrap w:val="0"/>
            <w:vAlign w:val="top"/>
          </w:tcPr>
          <w:p>
            <w:pP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top"/>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控制率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top"/>
          </w:tcPr>
          <w:p>
            <w:pPr>
              <w:widowControl/>
              <w:jc w:val="center"/>
              <w:rPr>
                <w:rFonts w:ascii="宋体" w:hAnsi="宋体" w:cs="宋体"/>
                <w:kern w:val="0"/>
                <w:sz w:val="24"/>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top"/>
          </w:tcPr>
          <w:p>
            <w:pP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center"/>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①已制定资金管理办法、内部财务管理制度、会计核算制度等管理制度，1分；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②建立健全单位内部控制制度，1分；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③会计人员、机构按规定设置，1分；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资金  使用</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合规性</w:t>
            </w:r>
          </w:p>
        </w:tc>
        <w:tc>
          <w:tcPr>
            <w:tcW w:w="567"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①支出符合国家财经法规和财务管理制度规定以及有关专项资金管理办法的规定；</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②资金（开支）拨付有完整的审批程序和手续；</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③支出符合部门预算批复的用途；</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④资金使用无截留、挤占、挪用、虚列支出、随意借用、大额现金支付等情况。</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rPr>
                <w:rFonts w:ascii="仿宋_GB2312" w:hAnsi="宋体" w:eastAsia="仿宋_GB2312" w:cs="宋体"/>
                <w:kern w:val="0"/>
                <w:sz w:val="20"/>
                <w:szCs w:val="20"/>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r>
              <w:rPr>
                <w:rFonts w:hint="eastAsia" w:ascii="仿宋_GB2312" w:hAnsi="仿宋" w:eastAsia="仿宋_GB2312" w:cs="仿宋"/>
                <w:kern w:val="0"/>
                <w:sz w:val="20"/>
                <w:szCs w:val="20"/>
              </w:rPr>
              <w:br w:type="textWrapping"/>
            </w: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top"/>
          </w:tcPr>
          <w:p>
            <w:pPr>
              <w:widowControl/>
              <w:jc w:val="center"/>
              <w:rPr>
                <w:rFonts w:hint="default" w:ascii="宋体" w:hAnsi="宋体" w:eastAsia="宋体" w:cs="宋体"/>
                <w:kern w:val="0"/>
                <w:sz w:val="24"/>
                <w:lang w:val="en-US" w:eastAsia="zh-CN"/>
              </w:rPr>
            </w:pPr>
            <w:r>
              <w:rPr>
                <w:rFonts w:hint="eastAsia" w:ascii="宋体" w:hAnsi="宋体" w:cs="宋体"/>
                <w:kern w:val="0"/>
                <w:sz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lang w:eastAsia="zh-CN"/>
              </w:rPr>
              <w:t>4</w:t>
            </w:r>
          </w:p>
        </w:tc>
        <w:tc>
          <w:tcPr>
            <w:tcW w:w="429" w:type="dxa"/>
            <w:vMerge w:val="continue"/>
            <w:tcBorders>
              <w:bottom w:val="single" w:color="auto" w:sz="4" w:space="0"/>
              <w:right w:val="single" w:color="auto" w:sz="4" w:space="0"/>
            </w:tcBorders>
            <w:noWrap w:val="0"/>
            <w:vAlign w:val="top"/>
          </w:tcPr>
          <w:p>
            <w:pPr>
              <w:widowControl/>
              <w:jc w:val="left"/>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851"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top"/>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top"/>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left"/>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  制度</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健全性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①已制定资产管理制度，1分；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top"/>
          </w:tcPr>
          <w:p>
            <w:pPr>
              <w:widowControl/>
              <w:jc w:val="left"/>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  管理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安全性</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①资产保存完整；②资产配置合理；③资产处置规范； </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以上情况每出现一例不符合要求的扣2分；⑨未按时报送201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年行政事业单位资产报表的，每延迟一天，扣1分，扣完为止。</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top"/>
          </w:tcPr>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top"/>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  资产</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利用率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top"/>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top"/>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top"/>
          </w:tcPr>
          <w:p>
            <w:pPr>
              <w:widowControl/>
              <w:jc w:val="left"/>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①本单位所有专项、项目资金均实行目标管理的，各2分,每少一个专项、项目的，扣1分，扣完为止；②编制并报送201</w:t>
            </w:r>
            <w:r>
              <w:rPr>
                <w:rFonts w:hint="eastAsia" w:ascii="仿宋_GB2312" w:hAnsi="宋体" w:eastAsia="仿宋_GB2312" w:cs="宋体"/>
                <w:kern w:val="0"/>
                <w:sz w:val="20"/>
                <w:szCs w:val="20"/>
                <w:lang w:val="en-US" w:eastAsia="zh-CN"/>
              </w:rPr>
              <w:t>9</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top"/>
          </w:tcPr>
          <w:p>
            <w:pPr>
              <w:widowControl/>
              <w:jc w:val="center"/>
              <w:rPr>
                <w:rFonts w:hint="eastAsia" w:ascii="仿宋_GB2312" w:hAnsi="宋体" w:eastAsia="仿宋_GB2312" w:cs="宋体"/>
                <w:kern w:val="0"/>
                <w:sz w:val="20"/>
                <w:szCs w:val="20"/>
                <w:lang w:val="en-US" w:eastAsia="zh-CN"/>
              </w:rPr>
            </w:pPr>
          </w:p>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2019年新成立部门</w:t>
            </w:r>
          </w:p>
          <w:p>
            <w:pPr>
              <w:widowControl/>
              <w:ind w:firstLine="200" w:firstLineChars="100"/>
              <w:jc w:val="both"/>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top"/>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开展201</w:t>
            </w:r>
            <w:r>
              <w:rPr>
                <w:rFonts w:hint="eastAsia" w:ascii="仿宋_GB2312" w:hAnsi="宋体" w:eastAsia="仿宋_GB2312" w:cs="宋体"/>
                <w:kern w:val="0"/>
                <w:sz w:val="20"/>
                <w:szCs w:val="20"/>
                <w:lang w:val="en-US" w:eastAsia="zh-CN"/>
              </w:rPr>
              <w:t>7</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rPr>
                <w:rFonts w:hint="eastAsia" w:ascii="仿宋_GB2312" w:hAnsi="宋体" w:eastAsia="仿宋_GB2312" w:cs="宋体"/>
                <w:kern w:val="0"/>
                <w:sz w:val="20"/>
                <w:szCs w:val="20"/>
              </w:rPr>
            </w:pPr>
          </w:p>
        </w:tc>
        <w:tc>
          <w:tcPr>
            <w:tcW w:w="617" w:type="dxa"/>
            <w:noWrap w:val="0"/>
            <w:vAlign w:val="top"/>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2019年新成立部门</w:t>
            </w:r>
          </w:p>
          <w:p>
            <w:pPr>
              <w:widowControl/>
              <w:jc w:val="center"/>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top"/>
          </w:tcPr>
          <w:p>
            <w:pPr>
              <w:jc w:val="left"/>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 w:hAnsi="仿宋" w:eastAsia="仿宋" w:cs="宋体"/>
                <w:sz w:val="20"/>
                <w:szCs w:val="20"/>
              </w:rPr>
            </w:pPr>
            <w:r>
              <w:rPr>
                <w:rFonts w:hint="eastAsia" w:ascii="仿宋_GB2312" w:hAnsi="宋体" w:eastAsia="仿宋_GB2312" w:cs="宋体"/>
                <w:kern w:val="0"/>
                <w:sz w:val="20"/>
                <w:szCs w:val="20"/>
              </w:rPr>
              <w:t>根据201</w:t>
            </w:r>
            <w:r>
              <w:rPr>
                <w:rFonts w:hint="eastAsia" w:ascii="仿宋_GB2312" w:hAnsi="宋体" w:eastAsia="仿宋_GB2312" w:cs="宋体"/>
                <w:kern w:val="0"/>
                <w:sz w:val="20"/>
                <w:szCs w:val="20"/>
                <w:lang w:val="en-US" w:eastAsia="zh-CN"/>
              </w:rPr>
              <w:t>8</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noWrap w:val="0"/>
            <w:vAlign w:val="center"/>
          </w:tcPr>
          <w:p>
            <w:pPr>
              <w:rPr>
                <w:rFonts w:hint="eastAsia" w:ascii="仿宋_GB2312" w:hAnsi="宋体" w:eastAsia="仿宋_GB2312" w:cs="宋体"/>
                <w:kern w:val="0"/>
                <w:sz w:val="20"/>
                <w:szCs w:val="20"/>
              </w:rPr>
            </w:pPr>
          </w:p>
        </w:tc>
        <w:tc>
          <w:tcPr>
            <w:tcW w:w="617" w:type="dxa"/>
            <w:noWrap w:val="0"/>
            <w:vAlign w:val="top"/>
          </w:tcPr>
          <w:p>
            <w:pPr>
              <w:widowControl/>
              <w:jc w:val="left"/>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2019年新成立部门</w:t>
            </w:r>
          </w:p>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 xml:space="preserve">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top"/>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top"/>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top"/>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top"/>
          </w:tcPr>
          <w:p>
            <w:pPr>
              <w:widowControl/>
              <w:jc w:val="center"/>
              <w:rPr>
                <w:rFonts w:hint="eastAsia" w:ascii="仿宋_GB2312" w:hAnsi="宋体" w:eastAsia="仿宋_GB2312" w:cs="宋体"/>
                <w:kern w:val="0"/>
                <w:sz w:val="20"/>
                <w:szCs w:val="20"/>
              </w:rPr>
            </w:pPr>
          </w:p>
        </w:tc>
        <w:tc>
          <w:tcPr>
            <w:tcW w:w="851"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top"/>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top"/>
          </w:tcPr>
          <w:p>
            <w:pPr>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此三项指标可根据部门实际并结合20</w:t>
            </w:r>
            <w:r>
              <w:rPr>
                <w:rFonts w:hint="eastAsia" w:ascii="仿宋_GB2312" w:hAnsi="宋体" w:eastAsia="仿宋_GB2312" w:cs="宋体"/>
                <w:kern w:val="0"/>
                <w:sz w:val="20"/>
                <w:szCs w:val="20"/>
                <w:lang w:val="en-US" w:eastAsia="zh-CN"/>
              </w:rPr>
              <w:t>19</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left"/>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仿宋_GB2312" w:hAnsi="宋体" w:eastAsia="仿宋_GB2312"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top"/>
          </w:tcPr>
          <w:p>
            <w:pPr>
              <w:widowControl/>
              <w:jc w:val="left"/>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top"/>
          </w:tcPr>
          <w:p>
            <w:pPr>
              <w:widowControl/>
              <w:jc w:val="left"/>
              <w:rPr>
                <w:rFonts w:hint="eastAsia" w:ascii="仿宋_GB2312" w:hAnsi="宋体" w:eastAsia="仿宋_GB2312" w:cs="宋体"/>
                <w:kern w:val="0"/>
                <w:sz w:val="20"/>
                <w:szCs w:val="20"/>
              </w:rPr>
            </w:pPr>
          </w:p>
        </w:tc>
        <w:tc>
          <w:tcPr>
            <w:tcW w:w="851"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90%（含）以上计2分；</w:t>
            </w:r>
            <w:r>
              <w:rPr>
                <w:rFonts w:hint="eastAsia" w:ascii="仿宋_GB2312" w:hAnsi="宋体" w:eastAsia="仿宋_GB2312" w:cs="宋体"/>
                <w:kern w:val="0"/>
                <w:sz w:val="20"/>
                <w:szCs w:val="20"/>
              </w:rPr>
              <w:br w:type="textWrapping"/>
            </w: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top"/>
          </w:tcPr>
          <w:p>
            <w:pPr>
              <w:widowControl/>
              <w:jc w:val="center"/>
              <w:rPr>
                <w:rFonts w:hint="eastAsia"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rPr>
                <w:rFonts w:hint="eastAsia" w:ascii="仿宋_GB2312" w:hAnsi="宋体" w:eastAsia="仿宋_GB2312" w:cs="宋体"/>
                <w:kern w:val="0"/>
                <w:sz w:val="20"/>
                <w:szCs w:val="20"/>
              </w:rPr>
            </w:pPr>
          </w:p>
        </w:tc>
        <w:tc>
          <w:tcPr>
            <w:tcW w:w="617" w:type="dxa"/>
            <w:noWrap w:val="0"/>
            <w:vAlign w:val="top"/>
          </w:tcPr>
          <w:p>
            <w:pPr>
              <w:widowControl/>
              <w:jc w:val="left"/>
              <w:rPr>
                <w:rFonts w:hint="default" w:ascii="宋体" w:hAnsi="宋体" w:eastAsia="宋体" w:cs="宋体"/>
                <w:kern w:val="0"/>
                <w:sz w:val="24"/>
                <w:lang w:val="en-US" w:eastAsia="zh-CN"/>
              </w:rPr>
            </w:pPr>
            <w:r>
              <w:rPr>
                <w:rFonts w:hint="eastAsia" w:ascii="宋体" w:hAnsi="宋体" w:cs="宋体"/>
                <w:kern w:val="0"/>
                <w:sz w:val="24"/>
                <w:lang w:val="en-US" w:eastAsia="zh-CN"/>
              </w:rPr>
              <w:t>99</w:t>
            </w:r>
          </w:p>
        </w:tc>
      </w:tr>
    </w:tbl>
    <w:p>
      <w:pPr>
        <w:spacing w:line="600" w:lineRule="exact"/>
        <w:rPr>
          <w:rFonts w:ascii="宋体" w:hAnsi="宋体" w:cs="宋体"/>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F3177"/>
    <w:rsid w:val="278F3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2020-06-18T01:14:00Z</dcterms:created>
  <dc:creator>盆栽</dc:creator>
  <cp:lastModifiedBy>盆栽</cp:lastModifiedBy>
  <dcterms:modified xsi:type="dcterms:W3CDTF">2020-06-18T02:53:20Z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2052-11.1.0.9748</vt:lpwstr>
  </property>
</Properties>
</file>