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shd w:val="clear"/>
        <w:kinsoku/>
        <w:wordWrap/>
        <w:overflowPunct/>
        <w:topLinePunct w:val="0"/>
        <w:autoSpaceDE/>
        <w:autoSpaceDN/>
        <w:bidi w:val="0"/>
        <w:adjustRightInd/>
        <w:snapToGrid/>
        <w:spacing w:line="360" w:lineRule="auto"/>
        <w:textAlignment w:val="auto"/>
        <w:rPr>
          <w:rFonts w:hint="eastAsia"/>
        </w:rPr>
      </w:pPr>
      <w:r>
        <w:rPr>
          <w:rFonts w:hint="eastAsia"/>
        </w:rPr>
        <w:t>邵阳市</w:t>
      </w:r>
      <w:r>
        <w:rPr>
          <w:rFonts w:hint="eastAsia" w:ascii="Times New Roman" w:hAnsi="Times New Roman" w:cs="Times New Roman"/>
          <w:lang w:val="en-US" w:eastAsia="zh-CN"/>
        </w:rPr>
        <w:t>退役军人事务局</w:t>
      </w:r>
      <w:r>
        <w:rPr>
          <w:rFonts w:hint="eastAsia" w:ascii="宋体" w:hAnsi="宋体" w:eastAsia="宋体" w:cs="宋体"/>
        </w:rPr>
        <w:t>20</w:t>
      </w:r>
      <w:r>
        <w:rPr>
          <w:rFonts w:hint="eastAsia" w:ascii="宋体" w:hAnsi="宋体" w:eastAsia="宋体" w:cs="宋体"/>
          <w:lang w:val="en-US" w:eastAsia="zh-CN"/>
        </w:rPr>
        <w:t>2</w:t>
      </w:r>
      <w:r>
        <w:rPr>
          <w:rFonts w:hint="eastAsia" w:ascii="宋体" w:hAnsi="宋体" w:cs="宋体"/>
          <w:lang w:val="en-US" w:eastAsia="zh-CN"/>
        </w:rPr>
        <w:t>1</w:t>
      </w:r>
      <w:r>
        <w:rPr>
          <w:rFonts w:hint="eastAsia"/>
        </w:rPr>
        <w:t>年度部门</w:t>
      </w:r>
    </w:p>
    <w:p>
      <w:pPr>
        <w:pStyle w:val="3"/>
        <w:keepNext/>
        <w:keepLines/>
        <w:pageBreakBefore w:val="0"/>
        <w:widowControl w:val="0"/>
        <w:shd w:val="clear"/>
        <w:kinsoku/>
        <w:wordWrap/>
        <w:overflowPunct/>
        <w:topLinePunct w:val="0"/>
        <w:autoSpaceDE/>
        <w:autoSpaceDN/>
        <w:bidi w:val="0"/>
        <w:adjustRightInd/>
        <w:snapToGrid/>
        <w:spacing w:line="360" w:lineRule="auto"/>
        <w:textAlignment w:val="auto"/>
        <w:rPr>
          <w:rFonts w:hint="eastAsia"/>
        </w:rPr>
      </w:pPr>
      <w:r>
        <w:rPr>
          <w:rFonts w:hint="eastAsia"/>
        </w:rPr>
        <w:t>整体支出绩效评价报告</w:t>
      </w:r>
    </w:p>
    <w:p>
      <w:pPr>
        <w:ind w:firstLine="640" w:firstLineChars="200"/>
        <w:rPr>
          <w:rFonts w:eastAsia="仿宋_GB2312"/>
          <w:sz w:val="32"/>
          <w:szCs w:val="32"/>
        </w:rPr>
      </w:pPr>
      <w:r>
        <w:rPr>
          <w:rFonts w:hint="eastAsia" w:ascii="仿宋" w:hAnsi="仿宋" w:eastAsia="仿宋" w:cs="仿宋"/>
          <w:color w:val="000000"/>
          <w:kern w:val="0"/>
          <w:sz w:val="32"/>
          <w:szCs w:val="32"/>
        </w:rPr>
        <w:t>我</w:t>
      </w:r>
      <w:r>
        <w:rPr>
          <w:rFonts w:hint="eastAsia" w:ascii="仿宋" w:hAnsi="仿宋" w:eastAsia="仿宋" w:cs="仿宋"/>
          <w:color w:val="000000"/>
          <w:kern w:val="0"/>
          <w:sz w:val="32"/>
          <w:szCs w:val="32"/>
          <w:lang w:val="en-US" w:eastAsia="zh-CN"/>
        </w:rPr>
        <w:t>局</w:t>
      </w:r>
      <w:r>
        <w:rPr>
          <w:rFonts w:hint="eastAsia" w:ascii="仿宋" w:hAnsi="仿宋" w:eastAsia="仿宋" w:cs="仿宋"/>
          <w:color w:val="000000"/>
          <w:kern w:val="0"/>
          <w:sz w:val="32"/>
          <w:szCs w:val="32"/>
        </w:rPr>
        <w:t>按照</w:t>
      </w:r>
      <w:r>
        <w:rPr>
          <w:rFonts w:hint="eastAsia" w:ascii="仿宋" w:hAnsi="仿宋" w:eastAsia="仿宋" w:cs="仿宋"/>
          <w:color w:val="000000"/>
          <w:kern w:val="0"/>
          <w:sz w:val="32"/>
          <w:szCs w:val="32"/>
          <w:lang w:val="en-US" w:eastAsia="zh-CN"/>
        </w:rPr>
        <w:t>邵阳</w:t>
      </w:r>
      <w:r>
        <w:rPr>
          <w:rFonts w:hint="eastAsia" w:ascii="仿宋" w:hAnsi="仿宋" w:eastAsia="仿宋" w:cs="仿宋"/>
          <w:color w:val="000000"/>
          <w:kern w:val="0"/>
          <w:sz w:val="32"/>
          <w:szCs w:val="32"/>
        </w:rPr>
        <w:t>市财政局关于</w:t>
      </w:r>
      <w:r>
        <w:rPr>
          <w:rFonts w:hint="eastAsia" w:ascii="仿宋" w:hAnsi="仿宋" w:eastAsia="仿宋" w:cs="仿宋"/>
          <w:color w:val="000000"/>
          <w:kern w:val="0"/>
          <w:sz w:val="32"/>
          <w:szCs w:val="32"/>
          <w:lang w:val="en-US" w:eastAsia="zh-CN"/>
        </w:rPr>
        <w:t>开展</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年度部门整体支出绩效</w:t>
      </w:r>
      <w:r>
        <w:rPr>
          <w:rFonts w:hint="eastAsia" w:ascii="仿宋" w:hAnsi="仿宋" w:eastAsia="仿宋" w:cs="仿宋"/>
          <w:color w:val="000000"/>
          <w:kern w:val="0"/>
          <w:sz w:val="32"/>
          <w:szCs w:val="32"/>
          <w:lang w:val="en-US" w:eastAsia="zh-CN"/>
        </w:rPr>
        <w:t>自</w:t>
      </w:r>
      <w:r>
        <w:rPr>
          <w:rFonts w:hint="eastAsia" w:ascii="仿宋" w:hAnsi="仿宋" w:eastAsia="仿宋" w:cs="仿宋"/>
          <w:color w:val="000000"/>
          <w:kern w:val="0"/>
          <w:sz w:val="32"/>
          <w:szCs w:val="32"/>
        </w:rPr>
        <w:t>评工作的</w:t>
      </w:r>
      <w:r>
        <w:rPr>
          <w:rFonts w:hint="eastAsia" w:ascii="仿宋" w:hAnsi="仿宋" w:eastAsia="仿宋" w:cs="仿宋"/>
          <w:color w:val="000000"/>
          <w:kern w:val="0"/>
          <w:sz w:val="32"/>
          <w:szCs w:val="32"/>
          <w:lang w:val="en-US" w:eastAsia="zh-CN"/>
        </w:rPr>
        <w:t>要求</w:t>
      </w:r>
      <w:r>
        <w:rPr>
          <w:rFonts w:hint="eastAsia" w:ascii="仿宋" w:hAnsi="仿宋" w:eastAsia="仿宋" w:cs="仿宋"/>
          <w:color w:val="000000"/>
          <w:kern w:val="0"/>
          <w:sz w:val="32"/>
          <w:szCs w:val="32"/>
        </w:rPr>
        <w:t>，根据《中共中央 国务院关于全面实施预算绩效管理的意见》、财政部《关于印发&lt;财政支出绩效评价管理暂行办法&gt;的通知》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中共湖南省委办公厅 湖南省人民政府办公厅关于全面实施预算管理的实施意见</w:t>
      </w:r>
      <w:r>
        <w:rPr>
          <w:rFonts w:hint="eastAsia" w:ascii="仿宋" w:hAnsi="仿宋" w:eastAsia="仿宋" w:cs="仿宋"/>
          <w:color w:val="000000"/>
          <w:kern w:val="0"/>
          <w:sz w:val="32"/>
          <w:szCs w:val="32"/>
        </w:rPr>
        <w:t>》及市财政局拟定的部门整体支出绩效评价指标，</w:t>
      </w:r>
      <w:r>
        <w:rPr>
          <w:rFonts w:hint="eastAsia" w:ascii="仿宋" w:hAnsi="仿宋" w:eastAsia="仿宋" w:cs="仿宋"/>
          <w:sz w:val="32"/>
          <w:szCs w:val="32"/>
        </w:rPr>
        <w:t>遵循“科学性、客观性和公正性”的原则，对20</w:t>
      </w:r>
      <w:r>
        <w:rPr>
          <w:rFonts w:hint="eastAsia" w:ascii="仿宋" w:hAnsi="仿宋" w:eastAsia="仿宋" w:cs="仿宋"/>
          <w:sz w:val="32"/>
          <w:szCs w:val="32"/>
          <w:lang w:val="en-US" w:eastAsia="zh-CN"/>
        </w:rPr>
        <w:t>21</w:t>
      </w:r>
      <w:r>
        <w:rPr>
          <w:rFonts w:hint="eastAsia" w:ascii="仿宋" w:hAnsi="仿宋" w:eastAsia="仿宋" w:cs="仿宋"/>
          <w:sz w:val="32"/>
          <w:szCs w:val="32"/>
        </w:rPr>
        <w:t>年度部门整体支出绩效进行</w:t>
      </w:r>
      <w:r>
        <w:rPr>
          <w:rFonts w:hint="eastAsia" w:ascii="仿宋" w:hAnsi="仿宋" w:eastAsia="仿宋" w:cs="仿宋"/>
          <w:sz w:val="32"/>
          <w:szCs w:val="32"/>
          <w:lang w:val="en-US" w:eastAsia="zh-CN"/>
        </w:rPr>
        <w:t>了认真细致</w:t>
      </w:r>
      <w:r>
        <w:rPr>
          <w:rFonts w:hint="eastAsia" w:ascii="仿宋" w:hAnsi="仿宋" w:eastAsia="仿宋" w:cs="仿宋"/>
          <w:sz w:val="32"/>
          <w:szCs w:val="32"/>
        </w:rPr>
        <w:t>评价</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现将评价情况及评价结果报告如下：</w:t>
      </w:r>
    </w:p>
    <w:p>
      <w:pPr>
        <w:numPr>
          <w:ilvl w:val="0"/>
          <w:numId w:val="1"/>
        </w:numPr>
        <w:adjustRightInd w:val="0"/>
        <w:snapToGrid w:val="0"/>
        <w:spacing w:line="600" w:lineRule="exact"/>
        <w:ind w:left="-10" w:leftChars="0" w:firstLine="640" w:firstLineChars="0"/>
        <w:rPr>
          <w:rFonts w:eastAsia="黑体"/>
          <w:sz w:val="32"/>
          <w:szCs w:val="32"/>
        </w:rPr>
      </w:pPr>
      <w:r>
        <w:rPr>
          <w:rFonts w:hint="eastAsia" w:eastAsia="黑体"/>
          <w:sz w:val="32"/>
          <w:szCs w:val="32"/>
        </w:rPr>
        <w:t>部门</w:t>
      </w:r>
      <w:r>
        <w:rPr>
          <w:rFonts w:eastAsia="黑体"/>
          <w:sz w:val="32"/>
          <w:szCs w:val="32"/>
        </w:rPr>
        <w:t>概况</w:t>
      </w:r>
    </w:p>
    <w:p>
      <w:pPr>
        <w:keepNext w:val="0"/>
        <w:keepLines w:val="0"/>
        <w:pageBreakBefore w:val="0"/>
        <w:widowControl w:val="0"/>
        <w:numPr>
          <w:ilvl w:val="0"/>
          <w:numId w:val="0"/>
        </w:numPr>
        <w:shd w:val="clear" w:color="auto"/>
        <w:kinsoku/>
        <w:wordWrap/>
        <w:overflowPunct/>
        <w:topLinePunct w:val="0"/>
        <w:autoSpaceDE/>
        <w:autoSpaceDN/>
        <w:bidi w:val="0"/>
        <w:spacing w:line="360" w:lineRule="auto"/>
        <w:ind w:firstLine="643" w:firstLineChars="200"/>
        <w:textAlignment w:val="auto"/>
        <w:rPr>
          <w:rFonts w:hint="eastAsia" w:ascii="仿宋" w:hAnsi="仿宋" w:eastAsia="仿宋" w:cs="仿宋"/>
          <w:color w:val="auto"/>
          <w:kern w:val="0"/>
          <w:sz w:val="32"/>
          <w:szCs w:val="32"/>
          <w:lang w:val="en-US" w:eastAsia="zh-CN"/>
        </w:rPr>
      </w:pPr>
      <w:r>
        <w:rPr>
          <w:rFonts w:hint="eastAsia" w:ascii="楷体" w:hAnsi="楷体" w:eastAsia="楷体" w:cs="楷体"/>
          <w:b/>
          <w:bCs/>
          <w:color w:val="000000"/>
          <w:kern w:val="0"/>
          <w:sz w:val="32"/>
          <w:szCs w:val="32"/>
          <w:lang w:val="en-US" w:eastAsia="zh-CN"/>
        </w:rPr>
        <w:t>(一）部门基本情况。</w:t>
      </w:r>
      <w:r>
        <w:rPr>
          <w:rFonts w:hint="eastAsia" w:ascii="仿宋" w:hAnsi="仿宋" w:eastAsia="仿宋" w:cs="仿宋"/>
          <w:color w:val="auto"/>
          <w:kern w:val="0"/>
          <w:sz w:val="32"/>
          <w:szCs w:val="32"/>
          <w:lang w:val="en-US" w:eastAsia="zh-CN"/>
        </w:rPr>
        <w:t>我局成立于2019年3月，是隶属于邵阳市人民政府领导的政府工作部门，共有编制49人，其中行政编28人，事业编21人，截至2021年12月31日，实有在编在岗职工47人。</w:t>
      </w:r>
    </w:p>
    <w:p>
      <w:pPr>
        <w:numPr>
          <w:ilvl w:val="0"/>
          <w:numId w:val="2"/>
        </w:numPr>
        <w:ind w:left="-10" w:leftChars="0" w:firstLine="640" w:firstLineChars="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主要职能</w:t>
      </w:r>
      <w:r>
        <w:rPr>
          <w:rFonts w:hint="eastAsia" w:ascii="仿宋" w:hAnsi="仿宋" w:eastAsia="仿宋" w:cs="仿宋"/>
          <w:color w:val="auto"/>
          <w:sz w:val="32"/>
          <w:szCs w:val="32"/>
          <w:lang w:val="en-US" w:eastAsia="zh-CN"/>
        </w:rPr>
        <w:t>：负责全市军队转业干部、复员干部、离退休干部、退役士兵和无军籍退休退职职工的移交安置、教育培训、就业创业、社会保障、优待抚恤、权益维护、信访维稳以及全市拥军优属、烈士和退役军人荣誉奖励、军人公墓管理维护、纪念活动等工作。</w:t>
      </w:r>
    </w:p>
    <w:p>
      <w:pPr>
        <w:numPr>
          <w:ilvl w:val="0"/>
          <w:numId w:val="2"/>
        </w:numPr>
        <w:ind w:left="-10" w:leftChars="0" w:firstLine="640" w:firstLineChars="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内部科室设置：</w:t>
      </w:r>
      <w:r>
        <w:rPr>
          <w:rFonts w:hint="eastAsia" w:ascii="仿宋" w:hAnsi="仿宋" w:eastAsia="仿宋" w:cs="仿宋"/>
          <w:color w:val="auto"/>
          <w:sz w:val="32"/>
          <w:szCs w:val="32"/>
          <w:lang w:val="en-US" w:eastAsia="zh-CN"/>
        </w:rPr>
        <w:t>内设8个职能科（室），分别是办公室、政工科（机关党委）、规划财务科、政策法规科、思想权益科、移交安置科、就业创业科、拥军优抚科。另设局直属并统一财政核算的正科级事业单位2个，分别是</w:t>
      </w:r>
      <w:bookmarkStart w:id="0" w:name="OLE_LINK1"/>
      <w:r>
        <w:rPr>
          <w:rFonts w:hint="eastAsia" w:ascii="仿宋" w:hAnsi="仿宋" w:eastAsia="仿宋" w:cs="仿宋"/>
          <w:color w:val="auto"/>
          <w:sz w:val="32"/>
          <w:szCs w:val="32"/>
          <w:lang w:val="en-US" w:eastAsia="zh-CN"/>
        </w:rPr>
        <w:t>市退役军人服务中心、市双拥共建事务中心</w:t>
      </w:r>
      <w:bookmarkEnd w:id="0"/>
      <w:r>
        <w:rPr>
          <w:rFonts w:hint="eastAsia" w:ascii="仿宋" w:hAnsi="仿宋" w:eastAsia="仿宋" w:cs="仿宋"/>
          <w:color w:val="auto"/>
          <w:sz w:val="32"/>
          <w:szCs w:val="32"/>
          <w:lang w:val="en-US" w:eastAsia="zh-CN"/>
        </w:rPr>
        <w:t>。</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000000"/>
          <w:kern w:val="0"/>
          <w:sz w:val="32"/>
          <w:szCs w:val="32"/>
          <w:lang w:val="en-US" w:eastAsia="zh-CN"/>
        </w:rPr>
        <w:t>（二）部门整体支出规模、使用方向和主要内容、涉及范围。</w:t>
      </w:r>
      <w:r>
        <w:rPr>
          <w:rFonts w:hint="eastAsia" w:ascii="仿宋" w:hAnsi="仿宋" w:eastAsia="仿宋" w:cs="仿宋"/>
          <w:color w:val="000000"/>
          <w:kern w:val="0"/>
          <w:sz w:val="32"/>
          <w:szCs w:val="32"/>
          <w:lang w:val="en-US" w:eastAsia="zh-CN"/>
        </w:rPr>
        <w:t>2021年我局整体支出合计79,670,052.76元，比上年整体支出107,232,426.09元减少27,562,373.33元，降幅25.70%。其中基本支出11,504,272.13元（人员支出6,007,216.22元，日常公用支出5,497,055.91元），比上年的7,515,274.52元增加3,988,997.61元，增幅53.08%，主要系上年人员未完全到位导致基本支出基数较小；项目支出68,165,780.63元，比上年的99,717,151.57元减少31,551,370.94元，降幅为31.64%。年末结余4,564,202.75元。</w:t>
      </w:r>
    </w:p>
    <w:p>
      <w:pPr>
        <w:numPr>
          <w:ilvl w:val="0"/>
          <w:numId w:val="0"/>
        </w:numPr>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二、部门整体支出管理及使用情况</w:t>
      </w:r>
    </w:p>
    <w:p>
      <w:pPr>
        <w:ind w:firstLine="643" w:firstLineChars="200"/>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(一)预算执行情况</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2021年度我局收入预算数为39,315,600元，收入决算数为60,203,642.20元，比上年的108,319,811.41元减少44.42%。其中一般公共预算财政拨款收入60,052,617.37元，比上年的105,202,848.74元减少45,150,231.37元，降幅42.92%；其他收入151,024.83元，比上年的3,116,962.67元减少95.15%。2021年度支出决算79,670,052.76元，预算完成率为132.33%。</w:t>
      </w:r>
    </w:p>
    <w:p>
      <w:pPr>
        <w:keepNext w:val="0"/>
        <w:keepLines w:val="0"/>
        <w:pageBreakBefore w:val="0"/>
        <w:numPr>
          <w:ilvl w:val="0"/>
          <w:numId w:val="0"/>
        </w:numPr>
        <w:shd w:val="clear"/>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（二）基本支出</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2021年我局基本支出合计</w:t>
      </w:r>
      <w:r>
        <w:rPr>
          <w:rFonts w:hint="eastAsia" w:ascii="仿宋" w:hAnsi="仿宋" w:eastAsia="仿宋" w:cs="仿宋"/>
          <w:color w:val="000000"/>
          <w:kern w:val="0"/>
          <w:sz w:val="32"/>
          <w:szCs w:val="32"/>
          <w:lang w:val="en-US" w:eastAsia="zh-CN"/>
        </w:rPr>
        <w:t>11,504,272.13</w:t>
      </w:r>
      <w:r>
        <w:rPr>
          <w:rFonts w:hint="eastAsia" w:ascii="仿宋" w:hAnsi="仿宋" w:eastAsia="仿宋" w:cs="仿宋"/>
          <w:sz w:val="32"/>
          <w:szCs w:val="32"/>
          <w:lang w:val="en-US" w:eastAsia="zh-CN"/>
        </w:rPr>
        <w:t>元，其中：工资福利支出5,965,692.05元</w:t>
      </w:r>
      <w:r>
        <w:rPr>
          <w:rFonts w:hint="eastAsia" w:ascii="仿宋" w:hAnsi="仿宋" w:eastAsia="仿宋" w:cs="仿宋"/>
          <w:color w:val="000000"/>
          <w:kern w:val="0"/>
          <w:sz w:val="32"/>
          <w:szCs w:val="32"/>
          <w:lang w:val="en-US" w:eastAsia="zh-CN"/>
        </w:rPr>
        <w:t>（其中基本工资1,838,221.61元、津贴补贴1,100,202元、奖金1,248,468元、绩效工资118,473元、机关事业单位基本养老保险缴费474,930.3元、职工基本医疗保险缴费417,318.04元、公务员医疗补助缴费55,700元、其他社会保障缴费30,352.7元、住房公积金566,493元、其他工资福利支出115,533.4元）</w:t>
      </w:r>
      <w:r>
        <w:rPr>
          <w:rFonts w:hint="eastAsia" w:ascii="仿宋" w:hAnsi="仿宋" w:eastAsia="仿宋" w:cs="仿宋"/>
          <w:sz w:val="32"/>
          <w:szCs w:val="32"/>
          <w:lang w:val="en-US" w:eastAsia="zh-CN"/>
        </w:rPr>
        <w:t>，商品服务支出5,187,056.91元</w:t>
      </w:r>
      <w:r>
        <w:rPr>
          <w:rFonts w:hint="eastAsia" w:ascii="仿宋" w:hAnsi="仿宋" w:eastAsia="仿宋" w:cs="仿宋"/>
          <w:color w:val="000000"/>
          <w:kern w:val="0"/>
          <w:sz w:val="32"/>
          <w:szCs w:val="32"/>
          <w:lang w:val="en-US" w:eastAsia="zh-CN"/>
        </w:rPr>
        <w:t>（其中办公费343,966.97元、印刷费96,280元、手续费731.50元、水费40,007.10元、电费96,181.95元、邮电费36,463元、物业管理费71,165元、差旅费288,930.70元、维修（护）费334,774.15、会议费122,245.50元、培训费39,526元、公务接待费43,835元、劳务费317,400元、委托业务费44,342.46元、工会经费440,200元、公务用车运行维护费</w:t>
      </w:r>
      <w:r>
        <w:rPr>
          <w:rFonts w:hint="eastAsia" w:ascii="仿宋" w:hAnsi="仿宋" w:eastAsia="仿宋" w:cs="仿宋"/>
          <w:color w:val="auto"/>
          <w:kern w:val="0"/>
          <w:sz w:val="32"/>
          <w:szCs w:val="32"/>
          <w:lang w:val="en-US" w:eastAsia="zh-CN"/>
        </w:rPr>
        <w:t>163,139.53</w:t>
      </w:r>
      <w:r>
        <w:rPr>
          <w:rFonts w:hint="eastAsia" w:ascii="仿宋" w:hAnsi="仿宋" w:eastAsia="仿宋" w:cs="仿宋"/>
          <w:color w:val="000000"/>
          <w:kern w:val="0"/>
          <w:sz w:val="32"/>
          <w:szCs w:val="32"/>
          <w:lang w:val="en-US" w:eastAsia="zh-CN"/>
        </w:rPr>
        <w:t>元、其他交通费用506,906元、其他商品和服务支出2,200,962.05元）</w:t>
      </w:r>
      <w:r>
        <w:rPr>
          <w:rFonts w:hint="eastAsia" w:ascii="仿宋" w:hAnsi="仿宋" w:eastAsia="仿宋" w:cs="仿宋"/>
          <w:sz w:val="32"/>
          <w:szCs w:val="32"/>
          <w:lang w:val="en-US" w:eastAsia="zh-CN"/>
        </w:rPr>
        <w:t>，对个人和家庭补助支出41,524.17元（抚恤金17,624.17元、其他对个人和家庭补助23,900元），资本性支出309,999元（办公设备购置309,999元）。</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为加强对预算资金的支出管理，我局制订了《邵阳市退役军人事务局财务管理制度》、《邵阳市退役军人事务专项资金管理办法》、《邵阳市退役军人事务局采购管理内部控制制度》、《邵阳市退役军人事务局合同管理内部控制制度》以及“三公经费”管理等系列制度，严格按照政策要求、制度规定、履职提效结合年初预算控制经费支出，制止奢侈浪费，注重资金使用效益。在经费收支管理方面，一是各项收入必须全部入帐，由财务统一核算，统一管理。二是所有费用实行领导审批制，严格遵循开支审批流程。所有经费开支均由经办人和证明人签字，经办科室负责人签字，再由主管财务领导审批，最终由一把手签字审批。三是实行财务会审制度，会审后经会审人员全体签字，相关领导审批后并加盖“财务会审专用章”后方可报账。资金使用合法合规，审批程序科学合理，实现了年度绩效目标，履行了部门职能职责。</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2021年我局“三公经费”支出212,154.53元（公务接待费49,015元、公务用车运行维护费163,139.53元），</w:t>
      </w:r>
      <w:r>
        <w:rPr>
          <w:rFonts w:hint="eastAsia" w:ascii="仿宋" w:hAnsi="仿宋" w:eastAsia="仿宋" w:cs="仿宋"/>
          <w:sz w:val="32"/>
          <w:szCs w:val="32"/>
          <w:lang w:val="en-US" w:eastAsia="zh-CN"/>
        </w:rPr>
        <w:t>2020年“三公经费”支出</w:t>
      </w:r>
      <w:r>
        <w:rPr>
          <w:rFonts w:hint="eastAsia" w:ascii="仿宋" w:hAnsi="仿宋" w:eastAsia="仿宋" w:cs="仿宋"/>
          <w:color w:val="000000" w:themeColor="text1"/>
          <w:sz w:val="32"/>
          <w:szCs w:val="32"/>
          <w:lang w:val="en-US" w:eastAsia="zh-CN"/>
          <w14:textFill>
            <w14:solidFill>
              <w14:schemeClr w14:val="tx1"/>
            </w14:solidFill>
          </w14:textFill>
        </w:rPr>
        <w:t>438,067.83元（公务接待费300,174.50元、公务用车运行维护费137,893.33元</w:t>
      </w:r>
      <w:r>
        <w:rPr>
          <w:rFonts w:hint="eastAsia" w:ascii="仿宋" w:hAnsi="仿宋" w:eastAsia="仿宋" w:cs="仿宋"/>
          <w:sz w:val="32"/>
          <w:szCs w:val="32"/>
          <w:lang w:val="en-US" w:eastAsia="zh-CN"/>
        </w:rPr>
        <w:t>），“三公经费”支出较上年减少51.57%。</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楷体" w:hAnsi="楷体" w:eastAsia="楷体" w:cs="楷体"/>
          <w:b/>
          <w:bCs/>
          <w:color w:val="000000" w:themeColor="text1"/>
          <w:kern w:val="0"/>
          <w:sz w:val="32"/>
          <w:szCs w:val="32"/>
          <w:lang w:val="en-US" w:eastAsia="zh-CN"/>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（三）专项支出</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2021年度，我局专项（项目）资金年初结余23,089,863.53元，其中财政拨款结余19,616,463.99元，项目资金年初预算34,280,000元，实际收到项目资金48,549,316.64元，实际支出专项（项目）资金为68,165,780.63元，年末项目资金结余3,473,399.54元。项目资金收入如下：义务兵家庭优待金7,392,400元，双拥工作经费1,000,000元，就业创业扶持和专场招聘经费300,000元，企业改制、下岗及无单位残疾军人生活困难补助经费1,661,400元，驻邵部队随军家属生活补助经费500,000元，信访维稳和特困救助基金5,000,000元，企业军转干部解困资金24,198,700元，1953年底前参军企业退伍士兵退休生活困难补助经费2,560,700元，其他资金5,936,116.64元。项目资金主要用于市直企业军转干部解困、相关退役军人生活补助、慰问活动、双拥创建、烈士褒扬、信访维稳和特困救助。</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2021年度专项（项目）资金支出</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68165780.63</w:t>
      </w:r>
      <w:r>
        <w:rPr>
          <w:rFonts w:hint="eastAsia" w:ascii="仿宋" w:hAnsi="仿宋" w:eastAsia="仿宋" w:cs="仿宋"/>
          <w:color w:val="000000"/>
          <w:kern w:val="0"/>
          <w:sz w:val="32"/>
          <w:szCs w:val="32"/>
          <w:lang w:val="en-US" w:eastAsia="zh-CN"/>
        </w:rPr>
        <w:t>元，其中用于商品和服务支出5646504.91元，对个人和家庭的补助62001463.37元，资本性支出517812.35元。年末专项（项目）资金结余</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3473399.54</w:t>
      </w:r>
      <w:r>
        <w:rPr>
          <w:rFonts w:hint="eastAsia" w:ascii="仿宋" w:hAnsi="仿宋" w:eastAsia="仿宋" w:cs="仿宋"/>
          <w:color w:val="000000"/>
          <w:kern w:val="0"/>
          <w:sz w:val="32"/>
          <w:szCs w:val="32"/>
          <w:lang w:val="en-US" w:eastAsia="zh-CN"/>
        </w:rPr>
        <w:t>元。</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上述专项经费均实行预算绩效管理，并按市财政局要求及时编制报送绩效目标、绩效自评等各类报表和报告。所有专项资金均实行了项目立项、申报、国库集中支付、资金报账制等规定和要求。为科学、合理使用专项资金，我局执行了以下专项资金管理措施：一是将专项资金纳入局财务统一管理，科学安排，合理配置，确保专款专用。二是专项资金报账拨付附真实、合法的原始凭证，实施财务会审制。三是专项资金实行财政国库集中支付制度和政府采购制度，严格按预算、按进度、按程序拨付和使用，坚持先批后用，先审后用。四是对专项资金实行全生命周期管理，事前有计划与评估，事中有跟踪、反馈与微调，事后有绩效评价，确保项目资金发挥其效能。五是按要求对专项资金绩效目标开展了申报和自评工作，并在公开统一平台和局门户网站公开，接受社会监督。</w:t>
      </w:r>
    </w:p>
    <w:p>
      <w:pPr>
        <w:keepNext w:val="0"/>
        <w:keepLines w:val="0"/>
        <w:pageBreakBefore w:val="0"/>
        <w:numPr>
          <w:ilvl w:val="0"/>
          <w:numId w:val="0"/>
        </w:numPr>
        <w:shd w:val="clear"/>
        <w:kinsoku/>
        <w:wordWrap/>
        <w:overflowPunct/>
        <w:topLinePunct w:val="0"/>
        <w:autoSpaceDE/>
        <w:autoSpaceDN/>
        <w:bidi w:val="0"/>
        <w:adjustRightInd w:val="0"/>
        <w:snapToGrid w:val="0"/>
        <w:spacing w:line="360" w:lineRule="auto"/>
        <w:ind w:leftChars="200" w:firstLine="320" w:firstLineChars="1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rPr>
        <w:t>资产管理情况</w:t>
      </w:r>
    </w:p>
    <w:p>
      <w:pPr>
        <w:keepNext w:val="0"/>
        <w:keepLines w:val="0"/>
        <w:pageBreakBefore w:val="0"/>
        <w:numPr>
          <w:ilvl w:val="0"/>
          <w:numId w:val="0"/>
        </w:numPr>
        <w:shd w:val="clear"/>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bidi="ar-SA"/>
        </w:rPr>
        <w:t>截至2021年12月31日，我局资产总额为7,272,607.75元，其中流动资产5,123,122.54元,占资产总额的70.44%,主要为银行存款及预付账款;固定资产净值2,149,485.21元,占资产总额的29.56%，主要包括公务用车、办公设备等。我局</w:t>
      </w:r>
      <w:r>
        <w:rPr>
          <w:rFonts w:hint="eastAsia" w:ascii="仿宋" w:hAnsi="仿宋" w:eastAsia="仿宋" w:cs="仿宋"/>
          <w:color w:val="000000"/>
          <w:kern w:val="0"/>
          <w:sz w:val="32"/>
          <w:szCs w:val="32"/>
          <w:lang w:val="en-US" w:eastAsia="zh-CN"/>
        </w:rPr>
        <w:t>严格按照《邵阳市市直行政事业单位国有资产配置预算及实物限额标准》《邵阳市市级行政事业单位国有资产处置管理办法》等文件的指导要求，结合单位实际情况，制定了《邵阳市退役军人事务局固定资产管理制度》、《湖南省退役军人事务专项资金管理办法》等制度加强对固定资产和流动资产的管理，执行国有资产购置、验收、使用和保管管理制度和操作规范。坚持统一政策、统一领导、分级管理、责任到人、物尽其用的原则，由办公室负责</w:t>
      </w:r>
      <w:r>
        <w:rPr>
          <w:rFonts w:hint="eastAsia" w:ascii="仿宋" w:hAnsi="仿宋" w:eastAsia="仿宋" w:cs="仿宋"/>
          <w:color w:val="000000"/>
          <w:kern w:val="0"/>
          <w:sz w:val="32"/>
          <w:szCs w:val="32"/>
          <w:lang w:val="en-US" w:eastAsia="en-US"/>
        </w:rPr>
        <w:t>全局固定资产的</w:t>
      </w:r>
      <w:r>
        <w:rPr>
          <w:rFonts w:hint="eastAsia" w:ascii="仿宋" w:hAnsi="仿宋" w:eastAsia="仿宋" w:cs="仿宋"/>
          <w:color w:val="000000"/>
          <w:kern w:val="0"/>
          <w:sz w:val="32"/>
          <w:szCs w:val="32"/>
          <w:lang w:val="en-US" w:eastAsia="zh-CN"/>
        </w:rPr>
        <w:t>实物管理</w:t>
      </w:r>
      <w:r>
        <w:rPr>
          <w:rFonts w:hint="eastAsia" w:ascii="仿宋" w:hAnsi="仿宋" w:eastAsia="仿宋" w:cs="仿宋"/>
          <w:color w:val="000000"/>
          <w:kern w:val="0"/>
          <w:sz w:val="32"/>
          <w:szCs w:val="32"/>
          <w:lang w:val="en-US" w:eastAsia="en-US"/>
        </w:rPr>
        <w:t>、参与资产验收、登</w:t>
      </w:r>
      <w:r>
        <w:rPr>
          <w:rFonts w:hint="eastAsia" w:ascii="仿宋" w:hAnsi="仿宋" w:eastAsia="仿宋" w:cs="仿宋"/>
          <w:color w:val="000000"/>
          <w:kern w:val="0"/>
          <w:sz w:val="32"/>
          <w:szCs w:val="32"/>
          <w:lang w:val="en-US" w:eastAsia="zh-CN"/>
        </w:rPr>
        <w:t>记</w:t>
      </w:r>
      <w:r>
        <w:rPr>
          <w:rFonts w:hint="eastAsia" w:ascii="仿宋" w:hAnsi="仿宋" w:eastAsia="仿宋" w:cs="仿宋"/>
          <w:color w:val="000000"/>
          <w:kern w:val="0"/>
          <w:sz w:val="32"/>
          <w:szCs w:val="32"/>
          <w:lang w:val="en-US" w:eastAsia="en-US"/>
        </w:rPr>
        <w:t>造册、固定资产</w:t>
      </w:r>
      <w:r>
        <w:rPr>
          <w:rFonts w:hint="eastAsia" w:ascii="仿宋" w:hAnsi="仿宋" w:eastAsia="仿宋" w:cs="仿宋"/>
          <w:color w:val="000000"/>
          <w:kern w:val="0"/>
          <w:sz w:val="32"/>
          <w:szCs w:val="32"/>
          <w:lang w:val="en-US" w:eastAsia="zh-CN"/>
        </w:rPr>
        <w:t>清查</w:t>
      </w:r>
      <w:r>
        <w:rPr>
          <w:rFonts w:hint="eastAsia" w:ascii="仿宋" w:hAnsi="仿宋" w:eastAsia="仿宋" w:cs="仿宋"/>
          <w:color w:val="000000"/>
          <w:kern w:val="0"/>
          <w:sz w:val="32"/>
          <w:szCs w:val="32"/>
          <w:lang w:val="en-US" w:eastAsia="en-US"/>
        </w:rPr>
        <w:t>、</w:t>
      </w:r>
      <w:r>
        <w:rPr>
          <w:rFonts w:hint="eastAsia" w:ascii="仿宋" w:hAnsi="仿宋" w:eastAsia="仿宋" w:cs="仿宋"/>
          <w:color w:val="000000"/>
          <w:kern w:val="0"/>
          <w:sz w:val="32"/>
          <w:szCs w:val="32"/>
          <w:lang w:val="en-US" w:eastAsia="zh-CN"/>
        </w:rPr>
        <w:t>处</w:t>
      </w:r>
      <w:r>
        <w:rPr>
          <w:rFonts w:hint="eastAsia" w:ascii="仿宋" w:hAnsi="仿宋" w:eastAsia="仿宋" w:cs="仿宋"/>
          <w:color w:val="000000"/>
          <w:kern w:val="0"/>
          <w:sz w:val="32"/>
          <w:szCs w:val="32"/>
          <w:lang w:val="en-US" w:eastAsia="en-US"/>
        </w:rPr>
        <w:t>置</w:t>
      </w:r>
      <w:r>
        <w:rPr>
          <w:rFonts w:hint="eastAsia" w:ascii="仿宋" w:hAnsi="仿宋" w:eastAsia="仿宋" w:cs="仿宋"/>
          <w:color w:val="000000"/>
          <w:kern w:val="0"/>
          <w:sz w:val="32"/>
          <w:szCs w:val="32"/>
          <w:lang w:val="en-US" w:eastAsia="zh-CN"/>
        </w:rPr>
        <w:t>工作，局财务科负责固定资产价值分类</w:t>
      </w:r>
      <w:r>
        <w:rPr>
          <w:rFonts w:hint="eastAsia" w:ascii="仿宋" w:hAnsi="仿宋" w:eastAsia="仿宋" w:cs="仿宋"/>
          <w:color w:val="000000"/>
          <w:kern w:val="0"/>
          <w:sz w:val="32"/>
          <w:szCs w:val="32"/>
          <w:lang w:val="en-US" w:eastAsia="en-US"/>
        </w:rPr>
        <w:t>核算</w:t>
      </w:r>
      <w:r>
        <w:rPr>
          <w:rFonts w:hint="eastAsia" w:ascii="仿宋" w:hAnsi="仿宋" w:eastAsia="仿宋" w:cs="仿宋"/>
          <w:color w:val="000000"/>
          <w:kern w:val="0"/>
          <w:sz w:val="32"/>
          <w:szCs w:val="32"/>
          <w:lang w:val="en-US" w:eastAsia="zh-CN"/>
        </w:rPr>
        <w:t>和固定资产清查</w:t>
      </w:r>
      <w:r>
        <w:rPr>
          <w:rFonts w:hint="eastAsia" w:ascii="仿宋" w:hAnsi="仿宋" w:eastAsia="仿宋" w:cs="仿宋"/>
          <w:color w:val="000000"/>
          <w:kern w:val="0"/>
          <w:sz w:val="32"/>
          <w:szCs w:val="32"/>
          <w:lang w:val="en-US" w:eastAsia="en-US"/>
        </w:rPr>
        <w:t>工作，各相关科室</w:t>
      </w:r>
      <w:r>
        <w:rPr>
          <w:rFonts w:hint="eastAsia" w:ascii="仿宋" w:hAnsi="仿宋" w:eastAsia="仿宋" w:cs="仿宋"/>
          <w:color w:val="000000"/>
          <w:kern w:val="0"/>
          <w:sz w:val="32"/>
          <w:szCs w:val="32"/>
          <w:lang w:val="en-US" w:eastAsia="zh-CN"/>
        </w:rPr>
        <w:t>（单位）</w:t>
      </w:r>
      <w:r>
        <w:rPr>
          <w:rFonts w:hint="eastAsia" w:ascii="仿宋" w:hAnsi="仿宋" w:eastAsia="仿宋" w:cs="仿宋"/>
          <w:color w:val="000000"/>
          <w:kern w:val="0"/>
          <w:sz w:val="32"/>
          <w:szCs w:val="32"/>
          <w:lang w:val="en-US" w:eastAsia="en-US"/>
        </w:rPr>
        <w:t>负责相应固定资产的</w:t>
      </w:r>
      <w:r>
        <w:rPr>
          <w:rFonts w:hint="eastAsia" w:ascii="仿宋" w:hAnsi="仿宋" w:eastAsia="仿宋" w:cs="仿宋"/>
          <w:color w:val="000000"/>
          <w:kern w:val="0"/>
          <w:sz w:val="32"/>
          <w:szCs w:val="32"/>
          <w:lang w:val="en-US" w:eastAsia="zh-CN"/>
        </w:rPr>
        <w:t>资产验收和实物保管工作</w:t>
      </w:r>
      <w:r>
        <w:rPr>
          <w:rFonts w:hint="eastAsia" w:ascii="仿宋" w:hAnsi="仿宋" w:eastAsia="仿宋" w:cs="仿宋"/>
          <w:color w:val="0000FF"/>
          <w:kern w:val="0"/>
          <w:sz w:val="32"/>
          <w:szCs w:val="32"/>
          <w:lang w:val="en-US" w:eastAsia="zh-CN"/>
        </w:rPr>
        <w:t>。</w:t>
      </w:r>
      <w:r>
        <w:rPr>
          <w:rFonts w:hint="eastAsia" w:ascii="仿宋" w:hAnsi="仿宋" w:eastAsia="仿宋" w:cs="仿宋"/>
          <w:color w:val="auto"/>
          <w:kern w:val="0"/>
          <w:sz w:val="32"/>
          <w:szCs w:val="32"/>
          <w:lang w:val="en-US" w:eastAsia="zh-CN"/>
        </w:rPr>
        <w:t>本年由办公室、财务、监督科、机关纪委牵头组织一次固定资产资产清查工作，并委托中介机构对全局资产进行一次清查，确保账实相符。</w:t>
      </w:r>
      <w:r>
        <w:rPr>
          <w:rFonts w:hint="eastAsia" w:ascii="仿宋" w:hAnsi="仿宋" w:eastAsia="仿宋" w:cs="仿宋"/>
          <w:color w:val="000000"/>
          <w:kern w:val="0"/>
          <w:sz w:val="32"/>
          <w:szCs w:val="32"/>
          <w:lang w:val="en-US" w:eastAsia="zh-CN"/>
        </w:rPr>
        <w:t>同时根据《湖南省财政厅关于做好行政事业性国有资产月报试编工作的通知》文件要求，每月及时通过财政部统一报表系统上报资产月报电子数据。</w:t>
      </w:r>
    </w:p>
    <w:p>
      <w:pPr>
        <w:pageBreakBefore w:val="0"/>
        <w:shd w:val="clear"/>
        <w:kinsoku/>
        <w:wordWrap/>
        <w:overflowPunct/>
        <w:topLinePunct w:val="0"/>
        <w:autoSpaceDE/>
        <w:autoSpaceDN/>
        <w:bidi w:val="0"/>
        <w:spacing w:line="360" w:lineRule="auto"/>
        <w:ind w:firstLine="640" w:firstLineChars="200"/>
        <w:textAlignment w:val="auto"/>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四</w:t>
      </w:r>
      <w:r>
        <w:rPr>
          <w:rFonts w:hint="eastAsia" w:ascii="Times New Roman" w:hAnsi="Times New Roman" w:eastAsia="黑体" w:cs="Times New Roman"/>
          <w:sz w:val="32"/>
          <w:szCs w:val="32"/>
          <w:lang w:val="en-US" w:eastAsia="zh-CN"/>
        </w:rPr>
        <w:t>、综合评价情况及评价结论</w:t>
      </w:r>
    </w:p>
    <w:p>
      <w:pPr>
        <w:pageBreakBefore w:val="0"/>
        <w:shd w:val="clear"/>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经费开支严格按预算和计划执行，严格围绕申报的绩效目标发挥职能，以“花钱必问效，无效必问责”的绩效原则指导工作，保证了机关的正常运转，退役军人的各种待遇得到了保障，信访事件大幅下降，出现了安定团结的社会局面。根据部门整体支出绩效评价指标科学评价，我局2021年度整体支出绩效评价得分96分。</w:t>
      </w:r>
    </w:p>
    <w:p>
      <w:pPr>
        <w:pageBreakBefore w:val="0"/>
        <w:numPr>
          <w:ilvl w:val="0"/>
          <w:numId w:val="0"/>
        </w:numPr>
        <w:shd w:val="clear"/>
        <w:kinsoku/>
        <w:wordWrap/>
        <w:overflowPunct/>
        <w:topLinePunct w:val="0"/>
        <w:autoSpaceDE/>
        <w:autoSpaceDN/>
        <w:bidi w:val="0"/>
        <w:spacing w:line="360" w:lineRule="auto"/>
        <w:ind w:firstLine="640" w:firstLineChars="200"/>
        <w:textAlignment w:val="auto"/>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五、</w:t>
      </w:r>
      <w:r>
        <w:rPr>
          <w:rFonts w:hint="eastAsia" w:ascii="Times New Roman" w:hAnsi="Times New Roman" w:eastAsia="黑体" w:cs="Times New Roman"/>
          <w:sz w:val="32"/>
          <w:szCs w:val="32"/>
          <w:lang w:val="en-US" w:eastAsia="zh-CN"/>
        </w:rPr>
        <w:t>部门整体支出主要绩效</w:t>
      </w:r>
    </w:p>
    <w:p>
      <w:pPr>
        <w:pageBreakBefore w:val="0"/>
        <w:shd w:val="clear"/>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2021年，我局坚持稳中求进工作总基调，以满足退役军人日益增长的美好生活需要为目的，不断提升退役军人事务领域治理水平，奋力推动全市退役军人工作高质量发展。</w:t>
      </w:r>
    </w:p>
    <w:p>
      <w:pPr>
        <w:pageBreakBefore w:val="0"/>
        <w:numPr>
          <w:ilvl w:val="0"/>
          <w:numId w:val="0"/>
        </w:numPr>
        <w:shd w:val="clear"/>
        <w:kinsoku/>
        <w:wordWrap/>
        <w:overflowPunct/>
        <w:topLinePunct w:val="0"/>
        <w:autoSpaceDE/>
        <w:autoSpaceDN/>
        <w:bidi w:val="0"/>
        <w:spacing w:line="360" w:lineRule="auto"/>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（一）积极促进就业创业，探索创业新模式、新路径。</w:t>
      </w:r>
    </w:p>
    <w:p>
      <w:pPr>
        <w:pageBreakBefore w:val="0"/>
        <w:shd w:val="clear"/>
        <w:kinsoku/>
        <w:wordWrap/>
        <w:overflowPunct/>
        <w:topLinePunct w:val="0"/>
        <w:autoSpaceDE/>
        <w:autoSpaceDN/>
        <w:bidi w:val="0"/>
        <w:spacing w:line="360" w:lineRule="auto"/>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auto"/>
          <w:sz w:val="32"/>
          <w:szCs w:val="32"/>
          <w:lang w:val="en-US" w:eastAsia="zh-CN"/>
        </w:rPr>
        <w:t>一是加强退役军人教育培训体系建设，提升退役军人再就业劳动技能。</w:t>
      </w:r>
      <w:r>
        <w:rPr>
          <w:rFonts w:hint="eastAsia" w:ascii="仿宋" w:hAnsi="仿宋" w:eastAsia="仿宋" w:cs="仿宋"/>
          <w:sz w:val="32"/>
          <w:szCs w:val="32"/>
          <w:lang w:val="en-US" w:eastAsia="zh-CN"/>
        </w:rPr>
        <w:t>优选全市30家培训机构信息编印成册，印发到县市区，积极引导自主就业退役士兵报名参加，今年全市共完成自主就业退役士兵职业技能教育培训1232人，为1704名退役军人开展适应性培训。积极引导符合条件的退役军人参加学历教育，2021年全市共有173人参加高职单招，201名大学生退役士兵复学。</w:t>
      </w:r>
      <w:r>
        <w:rPr>
          <w:rFonts w:hint="eastAsia" w:ascii="仿宋_GB2312" w:hAnsi="仿宋_GB2312" w:eastAsia="仿宋_GB2312" w:cs="仿宋_GB2312"/>
          <w:b/>
          <w:bCs/>
          <w:color w:val="auto"/>
          <w:sz w:val="32"/>
          <w:szCs w:val="32"/>
          <w:lang w:val="en-US" w:eastAsia="zh-CN"/>
        </w:rPr>
        <w:t>二是大力扶持退役军人就业创业。</w:t>
      </w:r>
      <w:r>
        <w:rPr>
          <w:rFonts w:hint="eastAsia" w:ascii="仿宋" w:hAnsi="仿宋" w:eastAsia="仿宋" w:cs="仿宋"/>
          <w:sz w:val="32"/>
          <w:szCs w:val="32"/>
          <w:lang w:val="en-US" w:eastAsia="zh-CN"/>
        </w:rPr>
        <w:t>组织春节专场招聘会，联合6部门开展民营企业招聘月活动，与人社等部门联合举办“退役不褪色 就业再启航”退役军人专场招聘，2021年共举办各类退役军人专场招聘会30余场，300多家企业累计提供岗位数8000余个，1100余名退役军人与企业签订就业（意向）协议。建立市县乡村四级一体的招聘信息共享平台和就业帮扶台账，2021年新建立退役军人就业台账1305人。持续推进“一村一网店”新型创业模式，开展邵阳市退役军人“十佳创业能手”评选表彰，成功举办第二届退役军人创业创新大赛，在全社会营造了支持退役军人创业创新的良好氛围。</w:t>
      </w:r>
    </w:p>
    <w:p>
      <w:pPr>
        <w:pageBreakBefore w:val="0"/>
        <w:shd w:val="clear"/>
        <w:kinsoku/>
        <w:wordWrap/>
        <w:overflowPunct/>
        <w:topLinePunct w:val="0"/>
        <w:autoSpaceDE/>
        <w:autoSpaceDN/>
        <w:bidi w:val="0"/>
        <w:spacing w:line="360" w:lineRule="auto"/>
        <w:ind w:firstLine="643" w:firstLineChars="200"/>
        <w:textAlignment w:val="auto"/>
        <w:rPr>
          <w:rFonts w:hint="default" w:ascii="仿宋" w:hAnsi="仿宋" w:eastAsia="仿宋" w:cs="仿宋"/>
          <w:sz w:val="32"/>
          <w:szCs w:val="32"/>
          <w:lang w:val="en-US" w:eastAsia="zh-CN"/>
        </w:rPr>
      </w:pPr>
      <w:r>
        <w:rPr>
          <w:rFonts w:hint="eastAsia" w:ascii="楷体_GB2312" w:hAnsi="楷体_GB2312" w:eastAsia="楷体_GB2312" w:cs="楷体_GB2312"/>
          <w:b/>
          <w:bCs/>
          <w:color w:val="auto"/>
          <w:sz w:val="32"/>
          <w:szCs w:val="32"/>
          <w:lang w:val="en-US" w:eastAsia="zh-CN"/>
        </w:rPr>
        <w:t>(二）圆满完成移交安置、社保服务等工作，安置率100%。</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bCs/>
          <w:color w:val="auto"/>
          <w:sz w:val="32"/>
          <w:szCs w:val="32"/>
          <w:lang w:val="zh-CN" w:eastAsia="zh-CN"/>
        </w:rPr>
        <w:t>大力推行“阳光安置”。</w:t>
      </w:r>
      <w:r>
        <w:rPr>
          <w:rFonts w:hint="eastAsia" w:ascii="仿宋" w:hAnsi="仿宋" w:eastAsia="仿宋" w:cs="仿宋"/>
          <w:sz w:val="32"/>
          <w:szCs w:val="32"/>
          <w:lang w:val="en-US" w:eastAsia="zh-CN"/>
        </w:rPr>
        <w:t>按照“量化评分、排序选岗”的原则，圆满完成41名转业军官、447名转业士官安置任务，切实提升安置质量，达到了让退役军人满意的目标。做好6名伤病残士兵移交安置工作。</w:t>
      </w:r>
      <w:r>
        <w:rPr>
          <w:rFonts w:hint="eastAsia" w:ascii="仿宋_GB2312" w:hAnsi="仿宋_GB2312" w:eastAsia="仿宋_GB2312" w:cs="仿宋_GB2312"/>
          <w:b/>
          <w:bCs/>
          <w:color w:val="auto"/>
          <w:sz w:val="32"/>
          <w:szCs w:val="32"/>
          <w:lang w:val="en-US" w:eastAsia="zh-CN"/>
        </w:rPr>
        <w:t>二是及时足额完成退役士兵社保缴费。</w:t>
      </w:r>
      <w:r>
        <w:rPr>
          <w:rFonts w:hint="eastAsia" w:ascii="仿宋" w:hAnsi="仿宋" w:eastAsia="仿宋" w:cs="仿宋"/>
          <w:sz w:val="32"/>
          <w:szCs w:val="32"/>
          <w:lang w:val="en-US" w:eastAsia="zh-CN"/>
        </w:rPr>
        <w:t>受理并初审通过18509人，养老保险和医疗保险核查18509人，困难人员审查516人；养老保险补缴办结18509人，其中缴费办结6305人，补缴金额10330.3万元，零补缴办结12043人，应缴未缴161人；医疗保险缴费150人，补缴金额299.79万元。三是不断提升军休服务水平。大力推广军休APP的使用，开展庆祝建党100周年系列庆典活动，落实军休人员政治待遇和生活待遇，推进军休服务大楼项目建设。</w:t>
      </w:r>
    </w:p>
    <w:p>
      <w:pPr>
        <w:pageBreakBefore w:val="0"/>
        <w:shd w:val="clear"/>
        <w:kinsoku/>
        <w:wordWrap/>
        <w:overflowPunct/>
        <w:topLinePunct w:val="0"/>
        <w:autoSpaceDE/>
        <w:autoSpaceDN/>
        <w:bidi w:val="0"/>
        <w:spacing w:line="360" w:lineRule="auto"/>
        <w:ind w:firstLine="643"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color w:val="auto"/>
          <w:sz w:val="32"/>
          <w:szCs w:val="32"/>
          <w:lang w:val="en-US" w:eastAsia="zh-CN"/>
        </w:rPr>
        <w:t>（三）扎实完成优抚服务工作。</w:t>
      </w:r>
      <w:r>
        <w:rPr>
          <w:rFonts w:hint="eastAsia" w:ascii="仿宋_GB2312" w:hAnsi="仿宋_GB2312" w:eastAsia="仿宋_GB2312" w:cs="仿宋_GB2312"/>
          <w:b/>
          <w:bCs/>
          <w:color w:val="auto"/>
          <w:sz w:val="32"/>
          <w:szCs w:val="32"/>
          <w:lang w:val="en-US" w:eastAsia="zh-CN"/>
        </w:rPr>
        <w:t>一是扎实推进优抚业务开展。</w:t>
      </w:r>
      <w:r>
        <w:rPr>
          <w:rFonts w:hint="eastAsia" w:ascii="仿宋" w:hAnsi="仿宋" w:eastAsia="仿宋" w:cs="仿宋"/>
          <w:sz w:val="32"/>
          <w:szCs w:val="32"/>
          <w:lang w:val="en-US" w:eastAsia="zh-CN"/>
        </w:rPr>
        <w:t>顺利完成全市“两参”内部核查工作。高质量办理审核、审批业务，全市已办结残疾等级评定276件、带病回乡306件、“两参”认定23件、三属定期抚恤27件，其中上报省厅伤残档案通过率高达98%。做好全市优抚数据中问题数据清理工作，实现“应清尽清”。积极争取优抚事业单位项目，组织开展全市优抚资金管理使用情况核查。</w:t>
      </w:r>
      <w:r>
        <w:rPr>
          <w:rFonts w:hint="eastAsia" w:ascii="仿宋_GB2312" w:hAnsi="仿宋_GB2312" w:eastAsia="仿宋_GB2312" w:cs="仿宋_GB2312"/>
          <w:b/>
          <w:bCs/>
          <w:color w:val="auto"/>
          <w:sz w:val="32"/>
          <w:szCs w:val="32"/>
          <w:lang w:val="en-US" w:eastAsia="zh-CN"/>
        </w:rPr>
        <w:t>二是加大关心关爱优抚对象力度。</w:t>
      </w:r>
      <w:r>
        <w:rPr>
          <w:rFonts w:hint="eastAsia" w:ascii="仿宋" w:hAnsi="仿宋" w:eastAsia="仿宋" w:cs="仿宋"/>
          <w:sz w:val="32"/>
          <w:szCs w:val="32"/>
          <w:lang w:val="en-US" w:eastAsia="zh-CN"/>
        </w:rPr>
        <w:t>及时足额发放优抚待遇；开展“关爱老兵·守护健康”活动，为部分优秀退役军人进行免费体检；组织27批次1250名重点优抚对象短期疗养，医疗巡诊8个县市区，为650余名重点优抚对象免费送医送药下乡。建党100之际，对全市555户烈士遗属上门走访慰问，传递党的温暖，并按1000-2000元/户的标准发放慰问金，累计发放62.7万元。</w:t>
      </w:r>
    </w:p>
    <w:p>
      <w:pPr>
        <w:pageBreakBefore w:val="0"/>
        <w:shd w:val="clear"/>
        <w:kinsoku/>
        <w:wordWrap/>
        <w:overflowPunct/>
        <w:topLinePunct w:val="0"/>
        <w:autoSpaceDE/>
        <w:autoSpaceDN/>
        <w:bidi w:val="0"/>
        <w:spacing w:line="360" w:lineRule="auto"/>
        <w:ind w:firstLine="643"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color w:val="auto"/>
          <w:sz w:val="32"/>
          <w:szCs w:val="32"/>
          <w:lang w:val="en-US" w:eastAsia="zh-CN"/>
        </w:rPr>
        <w:t>（四）积极开展拥军褒扬。一是切实加强拥军优属。</w:t>
      </w:r>
      <w:r>
        <w:rPr>
          <w:rFonts w:hint="eastAsia" w:ascii="仿宋" w:hAnsi="仿宋" w:eastAsia="仿宋" w:cs="仿宋"/>
          <w:sz w:val="32"/>
          <w:szCs w:val="32"/>
          <w:lang w:val="en-US" w:eastAsia="zh-CN"/>
        </w:rPr>
        <w:t>为913户立功受奖军人家庭送喜报，强化奖励机制。持续开展“情系边海防官兵”拥军优属活动，共走访180户。开展春节、八一走访慰问，全市走访慰问现役部队物资200余万元；走访慰问退役军人和其他优抚对象15万余人次，走访慰问金额2000余万元。修订完善《邵阳市军人子女教育优待实施细则》，对现役军人子女、残疾军人、因公牺牲军人子女、烈士子女落实教育优待政策。</w:t>
      </w:r>
      <w:r>
        <w:rPr>
          <w:rFonts w:hint="default" w:ascii="仿宋" w:hAnsi="仿宋" w:eastAsia="仿宋" w:cs="仿宋"/>
          <w:sz w:val="32"/>
          <w:szCs w:val="32"/>
          <w:lang w:val="en-US" w:eastAsia="zh-CN"/>
        </w:rPr>
        <w:t>安置正师职干部随军家属1名、随调随军家属8名，</w:t>
      </w:r>
      <w:r>
        <w:rPr>
          <w:rFonts w:hint="eastAsia" w:ascii="仿宋" w:hAnsi="仿宋" w:eastAsia="仿宋" w:cs="仿宋"/>
          <w:sz w:val="32"/>
          <w:szCs w:val="32"/>
          <w:lang w:val="en-US" w:eastAsia="zh-CN"/>
        </w:rPr>
        <w:t>全部安置到</w:t>
      </w:r>
      <w:r>
        <w:rPr>
          <w:rFonts w:hint="default" w:ascii="仿宋" w:hAnsi="仿宋" w:eastAsia="仿宋" w:cs="仿宋"/>
          <w:sz w:val="32"/>
          <w:szCs w:val="32"/>
          <w:lang w:val="en-US" w:eastAsia="zh-CN"/>
        </w:rPr>
        <w:t>市直下属事业单</w:t>
      </w:r>
      <w:r>
        <w:rPr>
          <w:rFonts w:hint="eastAsia" w:ascii="仿宋" w:hAnsi="仿宋" w:eastAsia="仿宋" w:cs="仿宋"/>
          <w:sz w:val="32"/>
          <w:szCs w:val="32"/>
          <w:lang w:val="en-US" w:eastAsia="zh-CN"/>
        </w:rPr>
        <w:t>位，做到了接收单位、部队和个人</w:t>
      </w:r>
      <w:r>
        <w:rPr>
          <w:rFonts w:hint="default" w:ascii="仿宋" w:hAnsi="仿宋" w:eastAsia="仿宋" w:cs="仿宋"/>
          <w:sz w:val="32"/>
          <w:szCs w:val="32"/>
          <w:lang w:val="en-US" w:eastAsia="zh-CN"/>
        </w:rPr>
        <w:t>都满意</w:t>
      </w:r>
      <w:r>
        <w:rPr>
          <w:rFonts w:hint="eastAsia" w:ascii="仿宋" w:hAnsi="仿宋" w:eastAsia="仿宋" w:cs="仿宋"/>
          <w:sz w:val="32"/>
          <w:szCs w:val="32"/>
          <w:lang w:val="en-US" w:eastAsia="zh-CN"/>
        </w:rPr>
        <w:t>。推动落实军地互提需求、互办实事的“双清单”制度，积极协调解决军地相关难点问题。</w:t>
      </w:r>
      <w:r>
        <w:rPr>
          <w:rFonts w:hint="eastAsia" w:ascii="楷体_GB2312" w:hAnsi="楷体_GB2312" w:eastAsia="楷体_GB2312" w:cs="楷体_GB2312"/>
          <w:b/>
          <w:bCs/>
          <w:color w:val="auto"/>
          <w:sz w:val="32"/>
          <w:szCs w:val="32"/>
          <w:lang w:val="en-US" w:eastAsia="zh-CN"/>
        </w:rPr>
        <w:t>二是努力做好褒扬纪念。</w:t>
      </w:r>
      <w:r>
        <w:rPr>
          <w:rFonts w:hint="eastAsia" w:ascii="仿宋" w:hAnsi="仿宋" w:eastAsia="仿宋" w:cs="仿宋"/>
          <w:sz w:val="32"/>
          <w:szCs w:val="32"/>
          <w:lang w:val="en-US" w:eastAsia="zh-CN"/>
        </w:rPr>
        <w:t>认真组织清明祭英烈活动，全市160余个单位、团体，约6万余人前往市烈士陵园祭扫，4万余人参与线上祭扫。组织9·30烈士公祭、12.13国家公祭日活动，在全社会营造了尊崇英烈的良好氛围。严格开展烈士评定，认真开展县级及以下烈士纪念设施管理保护专项行动，我市摸排出烈士墓及相关纪念设施856座（处），推进烈士纪念设施提质改造。</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（五）基层退役军人服务网点和服务队伍得到组建。一是提升服务保障体系建设水平。</w:t>
      </w:r>
      <w:r>
        <w:rPr>
          <w:rFonts w:hint="eastAsia" w:ascii="仿宋" w:hAnsi="仿宋" w:eastAsia="仿宋" w:cs="仿宋"/>
          <w:color w:val="000000" w:themeColor="text1"/>
          <w:sz w:val="32"/>
          <w:szCs w:val="32"/>
          <w:lang w:val="en-US" w:eastAsia="zh-CN"/>
          <w14:textFill>
            <w14:solidFill>
              <w14:schemeClr w14:val="tx1"/>
            </w14:solidFill>
          </w14:textFill>
        </w:rPr>
        <w:t>推动示范型服务中心（站）“全覆盖”创建工作，建成12个县（市、区）退役军人服务中心、205个乡镇（街道）退役军人服务站，其中创建4家省级红色退役军人服务站，全部完成示范建设和验收。发挥基层中心（站）服务性、保障性、延伸性作用，提高运行效能和服务质量。大祥区板桥乡退役军人服务站被评为“全国优秀退役军人服务保障先进单位”，双清区、邵阳县2名基层工作人员被评为“全国优秀退役军人服务保障先进个人”。</w:t>
      </w:r>
      <w:r>
        <w:rPr>
          <w:rFonts w:hint="eastAsia" w:ascii="楷体_GB2312" w:hAnsi="楷体_GB2312" w:eastAsia="楷体_GB2312" w:cs="楷体_GB2312"/>
          <w:b/>
          <w:bCs/>
          <w:color w:val="auto"/>
          <w:sz w:val="32"/>
          <w:szCs w:val="32"/>
          <w:lang w:val="en-US" w:eastAsia="zh-CN"/>
        </w:rPr>
        <w:t>二是加强退役军人志愿服务队组建</w:t>
      </w:r>
      <w:r>
        <w:rPr>
          <w:rFonts w:hint="eastAsia" w:ascii="仿宋" w:hAnsi="仿宋" w:eastAsia="仿宋" w:cs="仿宋"/>
          <w:color w:val="000000" w:themeColor="text1"/>
          <w:sz w:val="32"/>
          <w:szCs w:val="32"/>
          <w:lang w:val="en-US" w:eastAsia="zh-CN"/>
          <w14:textFill>
            <w14:solidFill>
              <w14:schemeClr w14:val="tx1"/>
            </w14:solidFill>
          </w14:textFill>
        </w:rPr>
        <w:t>。完善招募、登记、日常教育、退出等管理制度，科学制定年度志愿服务计划。全市新组建退役军人志愿服务队伍50余支，志愿者2200余人，开展志愿活动60余次。</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auto"/>
          <w:sz w:val="32"/>
          <w:szCs w:val="32"/>
          <w:lang w:val="en-US" w:eastAsia="zh-CN"/>
        </w:rPr>
        <w:t>（六）维持退役军人队伍总体稳定。一是加强思想政治引领。</w:t>
      </w:r>
      <w:r>
        <w:rPr>
          <w:rFonts w:hint="eastAsia" w:ascii="仿宋" w:hAnsi="仿宋" w:eastAsia="仿宋" w:cs="仿宋"/>
          <w:color w:val="000000" w:themeColor="text1"/>
          <w:sz w:val="32"/>
          <w:szCs w:val="32"/>
          <w:lang w:val="en-US" w:eastAsia="zh-CN"/>
          <w14:textFill>
            <w14:solidFill>
              <w14:schemeClr w14:val="tx1"/>
            </w14:solidFill>
          </w14:textFill>
        </w:rPr>
        <w:t>不断探索退役军人参与做退役军人思想工作方法，强化6个工作支部建设，各支部共组织党建活动24次。培养选拔推荐优秀退役军人担任“兵支书”，全市建档立卡“兵支书”2272人，其中担任村(社区）党支部书记的有618人。树立先进典型，向省厅推荐“模范退役军人”1名，5名优秀“兵支书”入选全省“百名优秀兵支书”宣传报道。不断提升网评员队伍建设水平。</w:t>
      </w:r>
      <w:r>
        <w:rPr>
          <w:rFonts w:hint="eastAsia" w:ascii="楷体_GB2312" w:hAnsi="楷体_GB2312" w:eastAsia="楷体_GB2312" w:cs="楷体_GB2312"/>
          <w:b/>
          <w:bCs/>
          <w:color w:val="auto"/>
          <w:sz w:val="32"/>
          <w:szCs w:val="32"/>
          <w:lang w:val="en-US" w:eastAsia="zh-CN"/>
        </w:rPr>
        <w:t>二是加强矛盾攻坚化解。</w:t>
      </w:r>
      <w:r>
        <w:rPr>
          <w:rFonts w:hint="eastAsia" w:ascii="仿宋" w:hAnsi="仿宋" w:eastAsia="仿宋" w:cs="仿宋"/>
          <w:color w:val="000000" w:themeColor="text1"/>
          <w:sz w:val="32"/>
          <w:szCs w:val="32"/>
          <w:lang w:val="en-US" w:eastAsia="zh-CN"/>
          <w14:textFill>
            <w14:solidFill>
              <w14:schemeClr w14:val="tx1"/>
            </w14:solidFill>
          </w14:textFill>
        </w:rPr>
        <w:t>全年共接待退役军人和其他优抚对象来访2975批4478人次，有效处置赴省访</w:t>
      </w:r>
      <w:r>
        <w:rPr>
          <w:rFonts w:hint="default" w:ascii="仿宋" w:hAnsi="仿宋" w:eastAsia="仿宋" w:cs="仿宋"/>
          <w:color w:val="000000" w:themeColor="text1"/>
          <w:sz w:val="32"/>
          <w:szCs w:val="32"/>
          <w:lang w:val="en-US" w:eastAsia="zh-CN"/>
          <w14:textFill>
            <w14:solidFill>
              <w14:schemeClr w14:val="tx1"/>
            </w14:solidFill>
          </w14:textFill>
        </w:rPr>
        <w:t>109</w:t>
      </w:r>
      <w:r>
        <w:rPr>
          <w:rFonts w:hint="eastAsia" w:ascii="仿宋" w:hAnsi="仿宋" w:eastAsia="仿宋" w:cs="仿宋"/>
          <w:color w:val="000000" w:themeColor="text1"/>
          <w:sz w:val="32"/>
          <w:szCs w:val="32"/>
          <w:lang w:val="en-US" w:eastAsia="zh-CN"/>
          <w14:textFill>
            <w14:solidFill>
              <w14:schemeClr w14:val="tx1"/>
            </w14:solidFill>
          </w14:textFill>
        </w:rPr>
        <w:t>人</w:t>
      </w:r>
      <w:r>
        <w:rPr>
          <w:rFonts w:hint="default" w:ascii="仿宋" w:hAnsi="仿宋" w:eastAsia="仿宋" w:cs="仿宋"/>
          <w:color w:val="000000" w:themeColor="text1"/>
          <w:sz w:val="32"/>
          <w:szCs w:val="32"/>
          <w:lang w:val="en-US" w:eastAsia="zh-CN"/>
          <w14:textFill>
            <w14:solidFill>
              <w14:schemeClr w14:val="tx1"/>
            </w14:solidFill>
          </w14:textFill>
        </w:rPr>
        <w:t>次</w:t>
      </w:r>
      <w:r>
        <w:rPr>
          <w:rFonts w:hint="eastAsia" w:ascii="仿宋" w:hAnsi="仿宋" w:eastAsia="仿宋" w:cs="仿宋"/>
          <w:color w:val="000000" w:themeColor="text1"/>
          <w:sz w:val="32"/>
          <w:szCs w:val="32"/>
          <w:lang w:val="en-US" w:eastAsia="zh-CN"/>
          <w14:textFill>
            <w14:solidFill>
              <w14:schemeClr w14:val="tx1"/>
            </w14:solidFill>
          </w14:textFill>
        </w:rPr>
        <w:t>，到部访16人次。处理转办、交办、督办及网上信访件共172件，调度各类情报信息171起。</w:t>
      </w:r>
      <w:r>
        <w:rPr>
          <w:rFonts w:hint="default" w:ascii="仿宋" w:hAnsi="仿宋" w:eastAsia="仿宋" w:cs="仿宋"/>
          <w:color w:val="000000" w:themeColor="text1"/>
          <w:sz w:val="32"/>
          <w:szCs w:val="32"/>
          <w:lang w:val="en-US" w:eastAsia="zh-CN"/>
          <w14:textFill>
            <w14:solidFill>
              <w14:schemeClr w14:val="tx1"/>
            </w14:solidFill>
          </w14:textFill>
        </w:rPr>
        <w:t>扎实开展退役军人矛盾问题“百日攻坚”活动</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全市29件退役军人矛盾问题信访积案已成功化解2</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default" w:ascii="仿宋" w:hAnsi="仿宋" w:eastAsia="仿宋" w:cs="仿宋"/>
          <w:color w:val="000000" w:themeColor="text1"/>
          <w:sz w:val="32"/>
          <w:szCs w:val="32"/>
          <w:lang w:val="en-US" w:eastAsia="zh-CN"/>
          <w14:textFill>
            <w14:solidFill>
              <w14:schemeClr w14:val="tx1"/>
            </w14:solidFill>
          </w14:textFill>
        </w:rPr>
        <w:t>件，化解率8</w:t>
      </w:r>
      <w:r>
        <w:rPr>
          <w:rFonts w:hint="eastAsia" w:ascii="仿宋" w:hAnsi="仿宋" w:eastAsia="仿宋" w:cs="仿宋"/>
          <w:color w:val="000000" w:themeColor="text1"/>
          <w:sz w:val="32"/>
          <w:szCs w:val="32"/>
          <w:lang w:val="en-US" w:eastAsia="zh-CN"/>
          <w14:textFill>
            <w14:solidFill>
              <w14:schemeClr w14:val="tx1"/>
            </w14:solidFill>
          </w14:textFill>
        </w:rPr>
        <w:t>9.3</w:t>
      </w:r>
      <w:r>
        <w:rPr>
          <w:rFonts w:hint="default" w:ascii="仿宋" w:hAnsi="仿宋" w:eastAsia="仿宋" w:cs="仿宋"/>
          <w:color w:val="000000" w:themeColor="text1"/>
          <w:sz w:val="32"/>
          <w:szCs w:val="32"/>
          <w:lang w:val="en-US" w:eastAsia="zh-CN"/>
          <w14:textFill>
            <w14:solidFill>
              <w14:schemeClr w14:val="tx1"/>
            </w14:solidFill>
          </w14:textFill>
        </w:rPr>
        <w:t>%（国网电力公司子弟兵安置案件不计入）</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b/>
          <w:bCs/>
          <w:color w:val="auto"/>
          <w:sz w:val="32"/>
          <w:szCs w:val="32"/>
          <w:lang w:val="en-US" w:eastAsia="zh-CN"/>
        </w:rPr>
        <w:t>三是真情开展困难帮扶工作。</w:t>
      </w:r>
      <w:r>
        <w:rPr>
          <w:rFonts w:hint="eastAsia" w:ascii="仿宋" w:hAnsi="仿宋" w:eastAsia="仿宋" w:cs="仿宋"/>
          <w:color w:val="000000" w:themeColor="text1"/>
          <w:sz w:val="32"/>
          <w:szCs w:val="32"/>
          <w:lang w:val="en-US" w:eastAsia="zh-CN"/>
          <w14:textFill>
            <w14:solidFill>
              <w14:schemeClr w14:val="tx1"/>
            </w14:solidFill>
          </w14:textFill>
        </w:rPr>
        <w:t>开展走访慰问和“春风行动”，</w:t>
      </w:r>
      <w:r>
        <w:rPr>
          <w:rFonts w:hint="default" w:ascii="仿宋" w:hAnsi="仿宋" w:eastAsia="仿宋" w:cs="仿宋"/>
          <w:color w:val="000000" w:themeColor="text1"/>
          <w:sz w:val="32"/>
          <w:szCs w:val="32"/>
          <w:lang w:val="en-US" w:eastAsia="zh-CN"/>
          <w14:textFill>
            <w14:solidFill>
              <w14:schemeClr w14:val="tx1"/>
            </w14:solidFill>
          </w14:textFill>
        </w:rPr>
        <w:t>发放慰问金3661.63万元。</w:t>
      </w:r>
      <w:r>
        <w:rPr>
          <w:rFonts w:hint="eastAsia" w:ascii="仿宋" w:hAnsi="仿宋" w:eastAsia="仿宋" w:cs="仿宋"/>
          <w:color w:val="000000" w:themeColor="text1"/>
          <w:sz w:val="32"/>
          <w:szCs w:val="32"/>
          <w:lang w:val="en-US" w:eastAsia="zh-CN"/>
          <w14:textFill>
            <w14:solidFill>
              <w14:schemeClr w14:val="tx1"/>
            </w14:solidFill>
          </w14:textFill>
        </w:rPr>
        <w:t>开展困难帮扶援助，共使用</w:t>
      </w:r>
      <w:r>
        <w:rPr>
          <w:rFonts w:hint="default" w:ascii="仿宋" w:hAnsi="仿宋" w:eastAsia="仿宋" w:cs="仿宋"/>
          <w:color w:val="000000" w:themeColor="text1"/>
          <w:sz w:val="32"/>
          <w:szCs w:val="32"/>
          <w:lang w:val="en-US" w:eastAsia="zh-CN"/>
          <w14:textFill>
            <w14:solidFill>
              <w14:schemeClr w14:val="tx1"/>
            </w14:solidFill>
          </w14:textFill>
        </w:rPr>
        <w:t>1419.8万元</w:t>
      </w:r>
      <w:r>
        <w:rPr>
          <w:rFonts w:hint="eastAsia" w:ascii="仿宋" w:hAnsi="仿宋" w:eastAsia="仿宋" w:cs="仿宋"/>
          <w:color w:val="000000" w:themeColor="text1"/>
          <w:sz w:val="32"/>
          <w:szCs w:val="32"/>
          <w:lang w:val="en-US" w:eastAsia="zh-CN"/>
          <w14:textFill>
            <w14:solidFill>
              <w14:schemeClr w14:val="tx1"/>
            </w14:solidFill>
          </w14:textFill>
        </w:rPr>
        <w:t>帮扶资金，帮助</w:t>
      </w:r>
      <w:r>
        <w:rPr>
          <w:rFonts w:hint="default" w:ascii="仿宋" w:hAnsi="仿宋" w:eastAsia="仿宋" w:cs="仿宋"/>
          <w:color w:val="000000" w:themeColor="text1"/>
          <w:sz w:val="32"/>
          <w:szCs w:val="32"/>
          <w:lang w:val="en-US" w:eastAsia="zh-CN"/>
          <w14:textFill>
            <w14:solidFill>
              <w14:schemeClr w14:val="tx1"/>
            </w14:solidFill>
          </w14:textFill>
        </w:rPr>
        <w:t>1.15万</w:t>
      </w:r>
      <w:r>
        <w:rPr>
          <w:rFonts w:hint="eastAsia" w:ascii="仿宋" w:hAnsi="仿宋" w:eastAsia="仿宋" w:cs="仿宋"/>
          <w:color w:val="000000" w:themeColor="text1"/>
          <w:sz w:val="32"/>
          <w:szCs w:val="32"/>
          <w:lang w:val="en-US" w:eastAsia="zh-CN"/>
          <w14:textFill>
            <w14:solidFill>
              <w14:schemeClr w14:val="tx1"/>
            </w14:solidFill>
          </w14:textFill>
        </w:rPr>
        <w:t>困难退役军人解决燃眉之急。全力确保建党100周年等重要节点我市退役军人总体稳定。</w:t>
      </w:r>
    </w:p>
    <w:p>
      <w:pPr>
        <w:keepNext w:val="0"/>
        <w:keepLines w:val="0"/>
        <w:pageBreakBefore w:val="0"/>
        <w:shd w:val="clear"/>
        <w:kinsoku/>
        <w:wordWrap/>
        <w:overflowPunct/>
        <w:topLinePunct w:val="0"/>
        <w:autoSpaceDE/>
        <w:autoSpaceDN/>
        <w:bidi w:val="0"/>
        <w:adjustRightInd w:val="0"/>
        <w:snapToGrid w:val="0"/>
        <w:spacing w:line="360" w:lineRule="auto"/>
        <w:ind w:firstLine="672" w:firstLineChars="21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sz w:val="32"/>
          <w:szCs w:val="32"/>
          <w:lang w:val="en-US" w:eastAsia="zh-CN"/>
        </w:rPr>
        <w:t>七、存在的问题</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auto"/>
          <w:sz w:val="32"/>
          <w:szCs w:val="32"/>
          <w:lang w:val="en-US" w:eastAsia="zh-CN"/>
        </w:rPr>
        <w:t>（一）信访维稳形势严峻，需加大力度依法治理。</w:t>
      </w:r>
      <w:r>
        <w:rPr>
          <w:rFonts w:hint="eastAsia" w:ascii="仿宋" w:hAnsi="仿宋" w:eastAsia="仿宋" w:cs="仿宋"/>
          <w:color w:val="000000"/>
          <w:kern w:val="0"/>
          <w:sz w:val="32"/>
          <w:szCs w:val="32"/>
          <w:lang w:val="en-US" w:eastAsia="zh-CN"/>
        </w:rPr>
        <w:t>我市历史遗留问题多，化解难度大。退役军人期望值较高，超出政策和职能范围内的诉求多，部分退役军人强烈要求超政策享受抚恤补助待遇，退役军人部门只能宣讲政策、加强教育、开展帮扶，打感情牌化解矛盾居多，缺乏依法处置、打击的有效手段与措施。</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auto"/>
          <w:sz w:val="32"/>
          <w:szCs w:val="32"/>
          <w:lang w:val="en-US" w:eastAsia="zh-CN"/>
        </w:rPr>
        <w:t>（二）工作基础不牢靠，规范服务有待加强。</w:t>
      </w:r>
      <w:r>
        <w:rPr>
          <w:rFonts w:hint="eastAsia" w:ascii="仿宋" w:hAnsi="仿宋" w:eastAsia="仿宋" w:cs="仿宋"/>
          <w:color w:val="000000"/>
          <w:kern w:val="0"/>
          <w:sz w:val="32"/>
          <w:szCs w:val="32"/>
          <w:lang w:val="en-US" w:eastAsia="zh-CN"/>
        </w:rPr>
        <w:t>部分县市区编制未到位，机制运行不畅，上传下达有障碍，政策落实不到位，存在抓重点、轻细节的情况。部分乡镇（街道）服务站建设标准不高，存在人员不专职、场地空缺、无经费可用等现象；村级服务站的基础建设滞后，无财务保障、无专人负责、无办公场地、无工作经费。</w:t>
      </w:r>
    </w:p>
    <w:p>
      <w:pPr>
        <w:keepNext w:val="0"/>
        <w:keepLines w:val="0"/>
        <w:pageBreakBefore w:val="0"/>
        <w:shd w:val="clear"/>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八、改进措施和有关建议</w:t>
      </w:r>
    </w:p>
    <w:p>
      <w:pPr>
        <w:keepNext w:val="0"/>
        <w:keepLines w:val="0"/>
        <w:pageBreakBefore w:val="0"/>
        <w:shd w:val="clear"/>
        <w:kinsoku/>
        <w:wordWrap/>
        <w:overflowPunct/>
        <w:topLinePunct w:val="0"/>
        <w:autoSpaceDE/>
        <w:autoSpaceDN/>
        <w:bidi w:val="0"/>
        <w:adjustRightInd w:val="0"/>
        <w:snapToGrid w:val="0"/>
        <w:spacing w:line="360" w:lineRule="auto"/>
        <w:ind w:firstLine="643" w:firstLineChars="20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auto"/>
          <w:sz w:val="32"/>
          <w:szCs w:val="32"/>
          <w:lang w:val="en-US" w:eastAsia="zh-CN"/>
        </w:rPr>
        <w:t>（一）加大政策宣传力度，合理解决矛盾困难。</w:t>
      </w:r>
      <w:r>
        <w:rPr>
          <w:rFonts w:hint="eastAsia" w:ascii="仿宋" w:hAnsi="仿宋" w:eastAsia="仿宋" w:cs="仿宋"/>
          <w:color w:val="000000"/>
          <w:kern w:val="0"/>
          <w:sz w:val="32"/>
          <w:szCs w:val="32"/>
          <w:lang w:val="en-US" w:eastAsia="zh-CN"/>
        </w:rPr>
        <w:t>综合利用报刊、墙壁、自媒体等多种广告载体，广泛宣传退役军人待遇政策，让广大退役军人对待遇述求有正确认识；同时提高服务人员政策水平与服务水准，提供精准、优质服务；对于违反政策越级上访以及“上访专业户”，除对其耐心劝导外，应采取相应强制措施。</w:t>
      </w:r>
    </w:p>
    <w:p>
      <w:pPr>
        <w:keepNext w:val="0"/>
        <w:keepLines w:val="0"/>
        <w:pageBreakBefore w:val="0"/>
        <w:shd w:val="clear"/>
        <w:kinsoku/>
        <w:wordWrap/>
        <w:overflowPunct/>
        <w:topLinePunct w:val="0"/>
        <w:autoSpaceDE/>
        <w:autoSpaceDN/>
        <w:bidi w:val="0"/>
        <w:adjustRightInd w:val="0"/>
        <w:snapToGrid w:val="0"/>
        <w:spacing w:line="360" w:lineRule="auto"/>
        <w:ind w:firstLine="675" w:firstLineChars="21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auto"/>
          <w:sz w:val="32"/>
          <w:szCs w:val="32"/>
          <w:lang w:val="en-US" w:eastAsia="zh-CN"/>
        </w:rPr>
        <w:t>（二）加强基层机构、基层网点建设。</w:t>
      </w:r>
      <w:r>
        <w:rPr>
          <w:rFonts w:hint="eastAsia" w:ascii="仿宋" w:hAnsi="仿宋" w:eastAsia="仿宋" w:cs="仿宋"/>
          <w:color w:val="000000"/>
          <w:kern w:val="0"/>
          <w:sz w:val="32"/>
          <w:szCs w:val="32"/>
          <w:lang w:val="en-US" w:eastAsia="zh-CN"/>
        </w:rPr>
        <w:t>督促各县市区落实人员编制、运营经费双到位，加强村镇服务网点建设，方便退役军人就近办事。</w:t>
      </w:r>
    </w:p>
    <w:p>
      <w:pPr>
        <w:pStyle w:val="6"/>
        <w:rPr>
          <w:rFonts w:hint="default"/>
          <w:lang w:val="en-US" w:eastAsia="zh-CN"/>
        </w:rPr>
      </w:pPr>
    </w:p>
    <w:p>
      <w:pPr>
        <w:spacing w:line="600" w:lineRule="exact"/>
        <w:rPr>
          <w:rFonts w:hint="eastAsia" w:ascii="黑体" w:hAnsi="宋体" w:eastAsia="黑体" w:cs="宋体"/>
          <w:kern w:val="0"/>
          <w:sz w:val="32"/>
          <w:szCs w:val="32"/>
        </w:rPr>
      </w:pPr>
    </w:p>
    <w:p>
      <w:pPr>
        <w:keepNext w:val="0"/>
        <w:keepLines w:val="0"/>
        <w:pageBreakBefore w:val="0"/>
        <w:shd w:val="clear"/>
        <w:kinsoku/>
        <w:wordWrap/>
        <w:overflowPunct/>
        <w:topLinePunct w:val="0"/>
        <w:autoSpaceDE/>
        <w:autoSpaceDN/>
        <w:bidi w:val="0"/>
        <w:adjustRightInd w:val="0"/>
        <w:snapToGrid w:val="0"/>
        <w:spacing w:line="360" w:lineRule="auto"/>
        <w:ind w:firstLine="4508" w:firstLineChars="1409"/>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邵阳市退役军人事务局</w:t>
      </w:r>
    </w:p>
    <w:p>
      <w:pPr>
        <w:pStyle w:val="6"/>
        <w:rPr>
          <w:rFonts w:hint="default"/>
          <w:lang w:val="en-US" w:eastAsia="zh-CN"/>
        </w:rPr>
      </w:pPr>
      <w:r>
        <w:rPr>
          <w:rFonts w:hint="eastAsia" w:ascii="仿宋" w:hAnsi="仿宋" w:eastAsia="仿宋" w:cs="仿宋"/>
          <w:color w:val="000000"/>
          <w:kern w:val="0"/>
          <w:sz w:val="32"/>
          <w:szCs w:val="32"/>
          <w:lang w:val="en-US" w:eastAsia="zh-CN"/>
        </w:rPr>
        <w:t xml:space="preserve">                        2022年5月30日</w:t>
      </w: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黑体"/>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360" w:lineRule="auto"/>
        <w:textAlignment w:val="auto"/>
        <w:rPr>
          <w:rFonts w:eastAsia="仿宋_GB2312"/>
          <w:sz w:val="32"/>
          <w:szCs w:val="32"/>
        </w:rPr>
      </w:pPr>
      <w:r>
        <w:rPr>
          <w:rFonts w:eastAsia="黑体"/>
          <w:sz w:val="32"/>
          <w:szCs w:val="32"/>
        </w:rPr>
        <w:t>附件1</w:t>
      </w:r>
    </w:p>
    <w:p>
      <w:pPr>
        <w:spacing w:before="120" w:beforeLines="50" w:after="120" w:afterLines="50"/>
        <w:jc w:val="center"/>
        <w:rPr>
          <w:rFonts w:hint="eastAsia" w:eastAsia="方正小标宋_GBK"/>
          <w:bCs/>
          <w:sz w:val="36"/>
          <w:szCs w:val="36"/>
          <w:lang w:eastAsia="zh-CN"/>
        </w:rPr>
      </w:pPr>
      <w:r>
        <w:rPr>
          <w:rFonts w:eastAsia="方正小标宋_GBK"/>
          <w:bCs/>
          <w:sz w:val="36"/>
          <w:szCs w:val="36"/>
        </w:rPr>
        <w:t>部门整体支出绩效评价</w:t>
      </w:r>
      <w:r>
        <w:rPr>
          <w:rFonts w:hint="eastAsia" w:eastAsia="方正小标宋_GBK"/>
          <w:bCs/>
          <w:sz w:val="36"/>
          <w:szCs w:val="36"/>
          <w:lang w:eastAsia="zh-CN"/>
        </w:rPr>
        <w:t>指标评分表</w:t>
      </w:r>
    </w:p>
    <w:tbl>
      <w:tblPr>
        <w:tblStyle w:val="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598"/>
        <w:gridCol w:w="675"/>
        <w:gridCol w:w="706"/>
        <w:gridCol w:w="2239"/>
        <w:gridCol w:w="358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585" w:type="dxa"/>
            <w:noWrap w:val="0"/>
            <w:tcMar>
              <w:top w:w="10" w:type="dxa"/>
              <w:left w:w="10" w:type="dxa"/>
              <w:bottom w:w="0" w:type="dxa"/>
              <w:right w:w="10" w:type="dxa"/>
            </w:tcMar>
            <w:vAlign w:val="center"/>
          </w:tcPr>
          <w:p>
            <w:pPr>
              <w:jc w:val="center"/>
              <w:rPr>
                <w:rFonts w:hint="eastAsia" w:ascii="仿宋_GB2312" w:eastAsia="仿宋_GB2312"/>
                <w:b/>
                <w:bCs/>
                <w:szCs w:val="21"/>
                <w:highlight w:val="none"/>
                <w:lang w:eastAsia="zh-CN"/>
              </w:rPr>
            </w:pPr>
            <w:r>
              <w:rPr>
                <w:rFonts w:hint="eastAsia" w:ascii="仿宋_GB2312" w:eastAsia="仿宋_GB2312"/>
                <w:b/>
                <w:bCs/>
                <w:szCs w:val="21"/>
                <w:highlight w:val="none"/>
              </w:rPr>
              <w:t>一级</w:t>
            </w:r>
          </w:p>
          <w:p>
            <w:pPr>
              <w:jc w:val="center"/>
              <w:rPr>
                <w:rFonts w:hint="eastAsia" w:ascii="仿宋_GB2312" w:eastAsia="仿宋_GB2312"/>
                <w:b/>
                <w:bCs/>
                <w:szCs w:val="21"/>
                <w:highlight w:val="none"/>
              </w:rPr>
            </w:pPr>
            <w:r>
              <w:rPr>
                <w:rFonts w:hint="eastAsia" w:ascii="仿宋_GB2312" w:eastAsia="仿宋_GB2312"/>
                <w:b/>
                <w:bCs/>
                <w:szCs w:val="21"/>
                <w:highlight w:val="none"/>
              </w:rPr>
              <w:t>指标</w:t>
            </w:r>
          </w:p>
        </w:tc>
        <w:tc>
          <w:tcPr>
            <w:tcW w:w="598" w:type="dxa"/>
            <w:noWrap w:val="0"/>
            <w:tcMar>
              <w:top w:w="10" w:type="dxa"/>
              <w:left w:w="10" w:type="dxa"/>
              <w:bottom w:w="0" w:type="dxa"/>
              <w:right w:w="10" w:type="dxa"/>
            </w:tcMar>
            <w:vAlign w:val="center"/>
          </w:tcPr>
          <w:p>
            <w:pPr>
              <w:spacing w:line="320" w:lineRule="exact"/>
              <w:jc w:val="center"/>
              <w:rPr>
                <w:rFonts w:hint="eastAsia" w:ascii="仿宋_GB2312" w:eastAsia="仿宋_GB2312"/>
                <w:b/>
                <w:bCs/>
                <w:szCs w:val="21"/>
                <w:highlight w:val="none"/>
              </w:rPr>
            </w:pPr>
            <w:r>
              <w:rPr>
                <w:rFonts w:hint="eastAsia" w:ascii="仿宋_GB2312" w:eastAsia="仿宋_GB2312"/>
                <w:b/>
                <w:bCs/>
                <w:szCs w:val="21"/>
                <w:highlight w:val="none"/>
              </w:rPr>
              <w:t>二级</w:t>
            </w:r>
          </w:p>
          <w:p>
            <w:pPr>
              <w:spacing w:line="320" w:lineRule="exact"/>
              <w:jc w:val="center"/>
              <w:rPr>
                <w:rFonts w:hint="eastAsia" w:ascii="仿宋_GB2312" w:eastAsia="仿宋_GB2312"/>
                <w:szCs w:val="21"/>
                <w:highlight w:val="none"/>
              </w:rPr>
            </w:pPr>
            <w:r>
              <w:rPr>
                <w:rFonts w:hint="eastAsia" w:ascii="仿宋_GB2312" w:eastAsia="仿宋_GB2312"/>
                <w:b/>
                <w:bCs/>
                <w:szCs w:val="21"/>
                <w:highlight w:val="none"/>
              </w:rPr>
              <w:t>指标</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b/>
                <w:bCs/>
                <w:szCs w:val="21"/>
                <w:highlight w:val="none"/>
              </w:rPr>
            </w:pPr>
            <w:r>
              <w:rPr>
                <w:rFonts w:hint="eastAsia" w:ascii="仿宋_GB2312" w:eastAsia="仿宋_GB2312"/>
                <w:b/>
                <w:bCs/>
                <w:szCs w:val="21"/>
                <w:highlight w:val="none"/>
              </w:rPr>
              <w:t>三级</w:t>
            </w:r>
          </w:p>
          <w:p>
            <w:pPr>
              <w:spacing w:line="320" w:lineRule="exact"/>
              <w:jc w:val="center"/>
              <w:rPr>
                <w:rFonts w:hint="eastAsia" w:ascii="仿宋_GB2312" w:eastAsia="仿宋_GB2312"/>
                <w:szCs w:val="21"/>
                <w:highlight w:val="none"/>
              </w:rPr>
            </w:pPr>
            <w:r>
              <w:rPr>
                <w:rFonts w:hint="eastAsia" w:ascii="仿宋_GB2312" w:eastAsia="仿宋_GB2312"/>
                <w:b/>
                <w:bCs/>
                <w:szCs w:val="21"/>
                <w:highlight w:val="none"/>
              </w:rPr>
              <w:t>指标</w:t>
            </w:r>
          </w:p>
        </w:tc>
        <w:tc>
          <w:tcPr>
            <w:tcW w:w="706"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分值</w:t>
            </w:r>
          </w:p>
        </w:tc>
        <w:tc>
          <w:tcPr>
            <w:tcW w:w="2239"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rPr>
            </w:pPr>
            <w:r>
              <w:rPr>
                <w:rFonts w:hint="eastAsia" w:ascii="仿宋_GB2312" w:eastAsia="仿宋_GB2312"/>
                <w:b/>
                <w:bCs/>
                <w:szCs w:val="21"/>
                <w:highlight w:val="none"/>
              </w:rPr>
              <w:t>指标解释</w:t>
            </w:r>
          </w:p>
        </w:tc>
        <w:tc>
          <w:tcPr>
            <w:tcW w:w="3582"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指标说明及评价标准</w:t>
            </w:r>
          </w:p>
        </w:tc>
        <w:tc>
          <w:tcPr>
            <w:tcW w:w="661"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投   入</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14分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目标</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设定</w:t>
            </w:r>
            <w:r>
              <w:rPr>
                <w:rFonts w:hint="eastAsia" w:ascii="仿宋_GB2312" w:eastAsia="仿宋_GB2312"/>
                <w:szCs w:val="21"/>
                <w:highlight w:val="none"/>
                <w:lang w:val="en-US" w:eastAsia="zh-CN"/>
              </w:rPr>
              <w:t xml:space="preserve"> </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 xml:space="preserve">     6分 </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绩效</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目标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合理性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部门所设立的整体绩效目标依据是否充分，是否符合客观实际，用以反映和考核部门整体绩效目标与部门履职、年度工作任务的相符性情况。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是否符合国家法律法规、国民经济和社会发展总体规划</w:t>
            </w:r>
            <w:r>
              <w:rPr>
                <w:rFonts w:hint="eastAsia" w:ascii="仿宋_GB2312" w:eastAsia="仿宋_GB2312"/>
                <w:szCs w:val="21"/>
                <w:highlight w:val="none"/>
                <w:lang w:eastAsia="zh-CN"/>
              </w:rPr>
              <w:t>；</w:t>
            </w:r>
            <w:r>
              <w:rPr>
                <w:rFonts w:hint="eastAsia" w:ascii="仿宋_GB2312" w:hAnsi="宋体" w:eastAsia="仿宋_GB2312" w:cs="宋体"/>
                <w:szCs w:val="21"/>
                <w:highlight w:val="none"/>
              </w:rPr>
              <w:t>②</w:t>
            </w:r>
            <w:r>
              <w:rPr>
                <w:rFonts w:hint="eastAsia" w:ascii="仿宋_GB2312" w:eastAsia="仿宋_GB2312"/>
                <w:szCs w:val="21"/>
                <w:highlight w:val="none"/>
              </w:rPr>
              <w:t>是否符合部门“三定”方案确定的职责；</w:t>
            </w:r>
          </w:p>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③</w:t>
            </w:r>
            <w:r>
              <w:rPr>
                <w:rFonts w:hint="eastAsia" w:ascii="仿宋_GB2312" w:eastAsia="仿宋_GB2312"/>
                <w:szCs w:val="21"/>
                <w:highlight w:val="none"/>
              </w:rPr>
              <w:t>是否符合部门制定的中长期实施规划。</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以上各项每发现一起不符合要求扣</w:t>
            </w:r>
            <w:r>
              <w:rPr>
                <w:rFonts w:hint="eastAsia" w:ascii="仿宋_GB2312" w:eastAsia="仿宋_GB2312"/>
                <w:szCs w:val="21"/>
                <w:highlight w:val="none"/>
                <w:lang w:val="en-US" w:eastAsia="zh-CN"/>
              </w:rPr>
              <w:t>1分，扣完为止。</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lang w:val="en-US" w:eastAsia="zh-CN"/>
              </w:rPr>
            </w:pPr>
            <w:r>
              <w:rPr>
                <w:rFonts w:hint="eastAsia"/>
                <w:lang w:val="en-US" w:eastAsia="zh-CN"/>
              </w:rPr>
              <w:t>3</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绩效</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指标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明确性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部门依据整体绩效目标所设定的绩效指标是否清晰、细化、可衡量，用以反映和考核部门整体绩效目标的明细化情况。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①</w:t>
            </w:r>
            <w:r>
              <w:rPr>
                <w:rFonts w:hint="eastAsia" w:ascii="仿宋_GB2312" w:eastAsia="仿宋_GB2312"/>
                <w:szCs w:val="21"/>
                <w:highlight w:val="none"/>
              </w:rPr>
              <w:t>是否将部门整体的绩效目标细化分解为具体的工作任务；</w:t>
            </w:r>
            <w:r>
              <w:rPr>
                <w:rFonts w:hint="eastAsia" w:ascii="仿宋_GB2312" w:hAnsi="宋体" w:eastAsia="仿宋_GB2312" w:cs="宋体"/>
                <w:szCs w:val="21"/>
                <w:highlight w:val="none"/>
              </w:rPr>
              <w:t>②</w:t>
            </w:r>
            <w:r>
              <w:rPr>
                <w:rFonts w:hint="eastAsia" w:ascii="仿宋_GB2312" w:eastAsia="仿宋_GB2312"/>
                <w:szCs w:val="21"/>
                <w:highlight w:val="none"/>
              </w:rPr>
              <w:t>是否通过清晰、可衡量的指标值予以体现</w:t>
            </w:r>
            <w:r>
              <w:rPr>
                <w:rFonts w:hint="eastAsia" w:ascii="仿宋_GB2312" w:eastAsia="仿宋_GB2312"/>
                <w:szCs w:val="21"/>
                <w:highlight w:val="none"/>
                <w:lang w:eastAsia="zh-CN"/>
              </w:rPr>
              <w:t>；</w:t>
            </w:r>
            <w:r>
              <w:rPr>
                <w:rFonts w:hint="eastAsia" w:ascii="仿宋_GB2312" w:hAnsi="宋体" w:eastAsia="仿宋_GB2312" w:cs="宋体"/>
                <w:szCs w:val="21"/>
                <w:highlight w:val="none"/>
              </w:rPr>
              <w:t>③</w:t>
            </w:r>
            <w:r>
              <w:rPr>
                <w:rFonts w:hint="eastAsia" w:ascii="仿宋_GB2312" w:eastAsia="仿宋_GB2312"/>
                <w:szCs w:val="21"/>
                <w:highlight w:val="none"/>
              </w:rPr>
              <w:t>是否与部门年度的任务数或计划数相对应；</w:t>
            </w:r>
            <w:r>
              <w:rPr>
                <w:rFonts w:hint="eastAsia" w:ascii="仿宋_GB2312" w:hAnsi="宋体" w:eastAsia="仿宋_GB2312" w:cs="宋体"/>
                <w:szCs w:val="21"/>
                <w:highlight w:val="none"/>
              </w:rPr>
              <w:t>④</w:t>
            </w:r>
            <w:r>
              <w:rPr>
                <w:rFonts w:hint="eastAsia" w:ascii="仿宋_GB2312" w:eastAsia="仿宋_GB2312"/>
                <w:szCs w:val="21"/>
                <w:highlight w:val="none"/>
              </w:rPr>
              <w:t>是否与本年度部门预算资金相匹配。</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以上各项每发现一起不符合要求的，扣</w:t>
            </w:r>
            <w:r>
              <w:rPr>
                <w:rFonts w:hint="eastAsia" w:ascii="仿宋_GB2312" w:eastAsia="仿宋_GB2312"/>
                <w:szCs w:val="21"/>
                <w:highlight w:val="none"/>
                <w:lang w:val="en-US" w:eastAsia="zh-CN"/>
              </w:rPr>
              <w:t>1分，扣完为止。</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配置</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8分   </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在职</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人员</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部门本年度实际在职人员数与编制数的比率，用以反映和考核部门对人员成本的控制程度。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在职人员控制率=（在职人员数/编制数）×100%。在职人员数：部门实际在职人数，以财政部确定的部门决算编制口径为准。编制数：机构编制部门核定批复的部门的人员编制数。</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该项得分，控制率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“三公经费”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变动率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部门本年度“三公经费”预算数与上年度“三公经费”预算数的变动比率，用以反映和考核部门对控制重点行政成本的努力程度。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“三公经费”变动率=[（本年度“三公经费”总额-上年度“三公经费”总额）/上年度“三公经费”总额]×100%。“三公经费”：年度预算安排的因公出国（境）费、公务车辆购置及运行费和公务招待费。</w:t>
            </w:r>
          </w:p>
          <w:p>
            <w:pPr>
              <w:spacing w:line="320" w:lineRule="exact"/>
              <w:ind w:left="105" w:leftChars="50" w:right="105" w:rightChars="50"/>
              <w:rPr>
                <w:rFonts w:hint="default" w:ascii="仿宋_GB2312" w:eastAsia="仿宋_GB2312"/>
                <w:szCs w:val="21"/>
                <w:highlight w:val="none"/>
                <w:lang w:val="en-US"/>
              </w:rPr>
            </w:pPr>
            <w:r>
              <w:rPr>
                <w:rFonts w:hint="eastAsia" w:ascii="仿宋_GB2312" w:eastAsia="仿宋_GB2312"/>
                <w:szCs w:val="21"/>
                <w:highlight w:val="none"/>
                <w:lang w:eastAsia="zh-CN"/>
              </w:rPr>
              <w:t>该项得分，变动率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1，计2分，变动率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1，计0分。年度内“三公经费”完成数超过预算数，则该项计0分。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重点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支出</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安排率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部门本年度部门</w:t>
            </w:r>
            <w:r>
              <w:rPr>
                <w:rFonts w:hint="eastAsia" w:ascii="仿宋_GB2312" w:eastAsia="仿宋_GB2312"/>
                <w:szCs w:val="21"/>
                <w:highlight w:val="none"/>
                <w:lang w:eastAsia="zh-CN"/>
              </w:rPr>
              <w:t>重点实际</w:t>
            </w:r>
            <w:r>
              <w:rPr>
                <w:rFonts w:hint="eastAsia" w:ascii="仿宋_GB2312" w:eastAsia="仿宋_GB2312"/>
                <w:szCs w:val="21"/>
                <w:highlight w:val="none"/>
              </w:rPr>
              <w:t>支出</w:t>
            </w:r>
            <w:r>
              <w:rPr>
                <w:rFonts w:hint="eastAsia" w:ascii="仿宋_GB2312" w:eastAsia="仿宋_GB2312"/>
                <w:szCs w:val="21"/>
                <w:highlight w:val="none"/>
                <w:lang w:eastAsia="zh-CN"/>
              </w:rPr>
              <w:t>与</w:t>
            </w:r>
            <w:r>
              <w:rPr>
                <w:rFonts w:hint="eastAsia" w:ascii="仿宋_GB2312" w:eastAsia="仿宋_GB2312"/>
                <w:szCs w:val="21"/>
                <w:highlight w:val="none"/>
              </w:rPr>
              <w:t>预算安排的重点预算支出的比率，用以反映和考核部门对履行主要职责或完成重点任务的保障程度。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rPr>
            </w:pPr>
            <w:r>
              <w:rPr>
                <w:rFonts w:hint="eastAsia" w:ascii="仿宋_GB2312" w:eastAsia="仿宋_GB2312"/>
                <w:szCs w:val="21"/>
                <w:highlight w:val="none"/>
              </w:rPr>
              <w:t>重点支出安排率=（重点</w:t>
            </w:r>
            <w:r>
              <w:rPr>
                <w:rFonts w:hint="eastAsia" w:ascii="仿宋_GB2312" w:eastAsia="仿宋_GB2312"/>
                <w:szCs w:val="21"/>
                <w:highlight w:val="none"/>
                <w:lang w:eastAsia="zh-CN"/>
              </w:rPr>
              <w:t>实际</w:t>
            </w:r>
            <w:r>
              <w:rPr>
                <w:rFonts w:hint="eastAsia" w:ascii="仿宋_GB2312" w:eastAsia="仿宋_GB2312"/>
                <w:szCs w:val="21"/>
                <w:highlight w:val="none"/>
              </w:rPr>
              <w:t>支出/</w:t>
            </w:r>
            <w:r>
              <w:rPr>
                <w:rFonts w:hint="eastAsia" w:ascii="仿宋_GB2312" w:eastAsia="仿宋_GB2312"/>
                <w:szCs w:val="21"/>
                <w:highlight w:val="none"/>
                <w:lang w:eastAsia="zh-CN"/>
              </w:rPr>
              <w:t>重点</w:t>
            </w:r>
            <w:r>
              <w:rPr>
                <w:rFonts w:hint="eastAsia" w:ascii="仿宋_GB2312" w:eastAsia="仿宋_GB2312"/>
                <w:szCs w:val="21"/>
                <w:highlight w:val="none"/>
              </w:rPr>
              <w:t>预算支出）×100%。重点预算支出：部门年度预算安排的，与本部门履职和发展密切相关、具有明显社会和经济影响、党委政府关心或社会比较关注的预算支出支出总额。</w:t>
            </w:r>
            <w:r>
              <w:rPr>
                <w:rFonts w:hint="eastAsia" w:ascii="仿宋_GB2312" w:eastAsia="仿宋_GB2312"/>
                <w:szCs w:val="21"/>
                <w:highlight w:val="none"/>
                <w:lang w:eastAsia="zh-CN"/>
              </w:rPr>
              <w:t>该指标参考部门年度项目支出及其预算。该项得分</w:t>
            </w:r>
            <w:r>
              <w:rPr>
                <w:rFonts w:hint="eastAsia" w:ascii="仿宋_GB2312" w:eastAsia="仿宋_GB2312"/>
                <w:szCs w:val="21"/>
                <w:highlight w:val="none"/>
                <w:lang w:val="en-US" w:eastAsia="zh-CN"/>
              </w:rPr>
              <w:t>=安排率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2分。安排率</w:t>
            </w:r>
            <w:r>
              <w:rPr>
                <w:rFonts w:hint="eastAsia" w:ascii="仿宋" w:hAnsi="仿宋" w:eastAsia="仿宋" w:cs="仿宋"/>
                <w:kern w:val="0"/>
                <w:sz w:val="20"/>
                <w:szCs w:val="20"/>
                <w:highlight w:val="none"/>
                <w:lang w:val="en-US" w:eastAsia="zh-CN"/>
              </w:rPr>
              <w:t>&gt;</w:t>
            </w:r>
            <w:r>
              <w:rPr>
                <w:rFonts w:hint="eastAsia" w:ascii="仿宋_GB2312" w:hAnsi="宋体" w:eastAsia="仿宋_GB2312" w:cs="宋体"/>
                <w:kern w:val="0"/>
                <w:sz w:val="20"/>
                <w:szCs w:val="20"/>
                <w:highlight w:val="none"/>
                <w:lang w:val="en-US" w:eastAsia="zh-CN"/>
              </w:rPr>
              <w:t>1是，计0分。</w:t>
            </w:r>
          </w:p>
        </w:tc>
        <w:tc>
          <w:tcPr>
            <w:tcW w:w="661" w:type="dxa"/>
            <w:noWrap w:val="0"/>
            <w:tcMar>
              <w:top w:w="10" w:type="dxa"/>
              <w:left w:w="10" w:type="dxa"/>
              <w:bottom w:w="0" w:type="dxa"/>
              <w:right w:w="10" w:type="dxa"/>
            </w:tcMar>
            <w:vAlign w:val="center"/>
          </w:tcPr>
          <w:p>
            <w:pPr>
              <w:spacing w:line="320" w:lineRule="exact"/>
              <w:ind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hAnsi="宋体" w:eastAsia="仿宋_GB2312" w:cs="宋体"/>
                <w:kern w:val="0"/>
                <w:sz w:val="20"/>
                <w:szCs w:val="20"/>
                <w:highlight w:val="none"/>
              </w:rPr>
              <w:t>非税 收入 完成率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eastAsia="zh-CN"/>
              </w:rPr>
            </w:pPr>
            <w:r>
              <w:rPr>
                <w:rFonts w:hint="eastAsia" w:ascii="仿宋_GB2312" w:eastAsia="仿宋_GB2312"/>
                <w:szCs w:val="21"/>
                <w:highlight w:val="none"/>
                <w:lang w:eastAsia="zh-CN"/>
              </w:rPr>
              <w:t>反映部门本年度非税收入完成情况。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非税收入完成率=（非税实际收入完成数/非税收入预算数）×100%，有减免因素的，以非税局确定的为准。</w:t>
            </w:r>
          </w:p>
          <w:p>
            <w:pPr>
              <w:spacing w:line="320" w:lineRule="exact"/>
              <w:ind w:left="105" w:leftChars="50" w:right="105" w:rightChars="50"/>
              <w:rPr>
                <w:rFonts w:hint="eastAsia" w:ascii="仿宋_GB2312" w:hAnsi="宋体" w:eastAsia="仿宋_GB2312" w:cs="宋体"/>
                <w:kern w:val="0"/>
                <w:sz w:val="20"/>
                <w:szCs w:val="20"/>
                <w:highlight w:val="none"/>
                <w:lang w:eastAsia="zh-CN"/>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w:t>
            </w:r>
            <w:r>
              <w:rPr>
                <w:rFonts w:hint="eastAsia" w:ascii="仿宋_GB2312" w:hAnsi="宋体" w:eastAsia="仿宋_GB2312" w:cs="宋体"/>
                <w:kern w:val="0"/>
                <w:sz w:val="20"/>
                <w:szCs w:val="20"/>
                <w:highlight w:val="none"/>
              </w:rPr>
              <w:t>完成率×</w:t>
            </w:r>
            <w:r>
              <w:rPr>
                <w:rFonts w:hint="eastAsia" w:ascii="仿宋_GB2312" w:hAnsi="宋体" w:eastAsia="仿宋_GB2312" w:cs="宋体"/>
                <w:kern w:val="0"/>
                <w:sz w:val="20"/>
                <w:szCs w:val="20"/>
                <w:highlight w:val="none"/>
                <w:lang w:val="en-US" w:eastAsia="zh-CN"/>
              </w:rPr>
              <w:t>2分。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9"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   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执行</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12分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部门本年度预算完成数与预算数的比率，用以反映和考核部门预算完成程度。</w:t>
            </w:r>
          </w:p>
        </w:tc>
        <w:tc>
          <w:tcPr>
            <w:tcW w:w="3582" w:type="dxa"/>
            <w:noWrap w:val="0"/>
            <w:tcMar>
              <w:top w:w="10" w:type="dxa"/>
              <w:left w:w="10" w:type="dxa"/>
              <w:bottom w:w="0" w:type="dxa"/>
              <w:right w:w="10" w:type="dxa"/>
            </w:tcMar>
            <w:vAlign w:val="center"/>
          </w:tcPr>
          <w:p>
            <w:pPr>
              <w:widowControl/>
              <w:jc w:val="left"/>
              <w:rPr>
                <w:rFonts w:hint="eastAsia" w:ascii="仿宋_GB2312" w:eastAsia="仿宋_GB2312"/>
                <w:szCs w:val="21"/>
                <w:highlight w:val="none"/>
              </w:rPr>
            </w:pPr>
            <w:r>
              <w:rPr>
                <w:rFonts w:hint="eastAsia" w:ascii="仿宋_GB2312" w:eastAsia="仿宋_GB2312"/>
                <w:szCs w:val="21"/>
                <w:highlight w:val="none"/>
              </w:rPr>
              <w:t>预算执行率=（预算执行数/预算数）×100%。预算执行数：部门本年度实际完成的预算数。预算数：财政部门批复的本年度部门预算数。</w:t>
            </w:r>
          </w:p>
          <w:p>
            <w:pPr>
              <w:widowControl/>
              <w:jc w:val="left"/>
              <w:rPr>
                <w:rFonts w:hint="eastAsia" w:ascii="仿宋_GB2312" w:eastAsia="仿宋_GB2312"/>
                <w:szCs w:val="21"/>
                <w:highlight w:val="none"/>
                <w:lang w:eastAsia="zh-CN"/>
              </w:rPr>
            </w:pPr>
            <w:r>
              <w:rPr>
                <w:rFonts w:hint="eastAsia" w:ascii="仿宋_GB2312" w:eastAsia="仿宋_GB2312"/>
                <w:szCs w:val="21"/>
                <w:highlight w:val="none"/>
                <w:lang w:eastAsia="zh-CN"/>
              </w:rPr>
              <w:t>该项得分，执行率</w:t>
            </w:r>
            <w:r>
              <w:rPr>
                <w:rFonts w:hint="default" w:ascii="Arial" w:hAnsi="Arial" w:eastAsia="仿宋_GB2312" w:cs="Arial"/>
                <w:szCs w:val="21"/>
                <w:highlight w:val="none"/>
                <w:lang w:eastAsia="zh-CN"/>
              </w:rPr>
              <w:t>≤</w:t>
            </w:r>
            <w:r>
              <w:rPr>
                <w:rFonts w:hint="eastAsia" w:ascii="仿宋_GB2312" w:hAnsi="宋体" w:eastAsia="仿宋_GB2312" w:cs="宋体"/>
                <w:kern w:val="0"/>
                <w:sz w:val="20"/>
                <w:szCs w:val="20"/>
                <w:highlight w:val="none"/>
              </w:rPr>
              <w:t>1，计2分，</w:t>
            </w:r>
            <w:r>
              <w:rPr>
                <w:rFonts w:hint="eastAsia" w:ascii="仿宋_GB2312" w:hAnsi="宋体" w:eastAsia="仿宋_GB2312" w:cs="宋体"/>
                <w:kern w:val="0"/>
                <w:sz w:val="20"/>
                <w:szCs w:val="20"/>
                <w:highlight w:val="none"/>
                <w:lang w:eastAsia="zh-CN"/>
              </w:rPr>
              <w:t>执行率</w:t>
            </w:r>
            <w:r>
              <w:rPr>
                <w:rFonts w:hint="eastAsia" w:ascii="仿宋_GB2312" w:hAnsi="宋体" w:eastAsia="仿宋_GB2312" w:cs="宋体"/>
                <w:kern w:val="0"/>
                <w:sz w:val="20"/>
                <w:szCs w:val="20"/>
                <w:highlight w:val="none"/>
              </w:rPr>
              <w:t>&gt;1</w:t>
            </w:r>
            <w:r>
              <w:rPr>
                <w:rFonts w:hint="eastAsia" w:ascii="仿宋_GB2312" w:hAnsi="宋体" w:eastAsia="仿宋_GB2312" w:cs="宋体"/>
                <w:kern w:val="0"/>
                <w:sz w:val="20"/>
                <w:szCs w:val="20"/>
                <w:highlight w:val="none"/>
                <w:lang w:eastAsia="zh-CN"/>
              </w:rPr>
              <w:t>时，每超过</w:t>
            </w:r>
            <w:r>
              <w:rPr>
                <w:rFonts w:hint="eastAsia" w:ascii="仿宋_GB2312" w:hAnsi="宋体" w:eastAsia="仿宋_GB2312" w:cs="宋体"/>
                <w:kern w:val="0"/>
                <w:sz w:val="20"/>
                <w:szCs w:val="20"/>
                <w:highlight w:val="none"/>
                <w:lang w:val="en-US" w:eastAsia="zh-CN"/>
              </w:rPr>
              <w:t>5个百分点，扣0.5分，扣完为止。</w:t>
            </w:r>
            <w:r>
              <w:rPr>
                <w:rFonts w:hint="eastAsia" w:ascii="仿宋_GB2312" w:hAnsi="宋体" w:eastAsia="仿宋_GB2312" w:cs="宋体"/>
                <w:kern w:val="0"/>
                <w:sz w:val="20"/>
                <w:szCs w:val="20"/>
                <w:highlight w:val="none"/>
                <w:lang w:eastAsia="zh-CN"/>
              </w:rPr>
              <w:t>（</w:t>
            </w:r>
            <w:r>
              <w:rPr>
                <w:rFonts w:hint="eastAsia" w:ascii="仿宋_GB2312" w:eastAsia="仿宋_GB2312"/>
                <w:szCs w:val="21"/>
                <w:highlight w:val="none"/>
              </w:rPr>
              <w:t>因落实国家政策、发生不可抗力、上级部门或本级党委政府临时交办而产生的除外</w:t>
            </w:r>
            <w:r>
              <w:rPr>
                <w:rFonts w:hint="eastAsia" w:ascii="仿宋_GB2312" w:eastAsia="仿宋_GB2312"/>
                <w:szCs w:val="21"/>
                <w:highlight w:val="none"/>
                <w:lang w:eastAsia="zh-CN"/>
              </w:rPr>
              <w:t>）</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3"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调整率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部门本年度预算调整数与预算数的比率，用以反映和考核部门预算的调整程度。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themeColor="text1"/>
                <w:szCs w:val="21"/>
                <w:highlight w:val="none"/>
                <w:lang w:eastAsia="zh-CN"/>
                <w14:textFill>
                  <w14:solidFill>
                    <w14:schemeClr w14:val="tx1"/>
                  </w14:solidFill>
                </w14:textFill>
              </w:rPr>
            </w:pPr>
            <w:r>
              <w:rPr>
                <w:rFonts w:hint="eastAsia" w:ascii="仿宋_GB2312" w:eastAsia="仿宋_GB2312"/>
                <w:color w:val="000000" w:themeColor="text1"/>
                <w:szCs w:val="21"/>
                <w:highlight w:val="none"/>
                <w14:textFill>
                  <w14:solidFill>
                    <w14:schemeClr w14:val="tx1"/>
                  </w14:solidFill>
                </w14:textFill>
              </w:rPr>
              <w:t>预算调整率=（预算调整数/预算数）×100%。预算调整数：部门在本年度内涉及预算的追加、追减或结构调整的资金总和（因落实国家政策、发生不可抗力、上级部门或本级党委政府临时交办而产生的调整除外）。</w:t>
            </w:r>
            <w:r>
              <w:rPr>
                <w:rFonts w:hint="eastAsia" w:ascii="仿宋_GB2312" w:eastAsia="仿宋_GB2312"/>
                <w:color w:val="000000" w:themeColor="text1"/>
                <w:szCs w:val="21"/>
                <w:highlight w:val="none"/>
                <w:lang w:eastAsia="zh-CN"/>
                <w14:textFill>
                  <w14:solidFill>
                    <w14:schemeClr w14:val="tx1"/>
                  </w14:solidFill>
                </w14:textFill>
              </w:rPr>
              <w:t>该项得分</w:t>
            </w:r>
            <w:r>
              <w:rPr>
                <w:rFonts w:hint="eastAsia" w:ascii="仿宋_GB2312" w:eastAsia="仿宋_GB2312"/>
                <w:color w:val="000000" w:themeColor="text1"/>
                <w:szCs w:val="21"/>
                <w:highlight w:val="none"/>
                <w:lang w:val="en-US" w:eastAsia="zh-CN"/>
                <w14:textFill>
                  <w14:solidFill>
                    <w14:schemeClr w14:val="tx1"/>
                  </w14:solidFill>
                </w14:textFill>
              </w:rPr>
              <w:t>=（1-</w:t>
            </w:r>
            <w:r>
              <w:rPr>
                <w:rFonts w:hint="eastAsia" w:ascii="仿宋_GB2312" w:eastAsia="仿宋_GB2312"/>
                <w:color w:val="000000" w:themeColor="text1"/>
                <w:szCs w:val="21"/>
                <w:highlight w:val="none"/>
                <w14:textFill>
                  <w14:solidFill>
                    <w14:schemeClr w14:val="tx1"/>
                  </w14:solidFill>
                </w14:textFill>
              </w:rPr>
              <w:t>调整率</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hAnsi="宋体" w:eastAsia="仿宋_GB2312" w:cs="宋体"/>
                <w:color w:val="000000" w:themeColor="text1"/>
                <w:kern w:val="0"/>
                <w:sz w:val="20"/>
                <w:szCs w:val="20"/>
                <w:highlight w:val="none"/>
                <w14:textFill>
                  <w14:solidFill>
                    <w14:schemeClr w14:val="tx1"/>
                  </w14:solidFill>
                </w14:textFill>
              </w:rPr>
              <w:t>×</w:t>
            </w:r>
            <w:r>
              <w:rPr>
                <w:rFonts w:hint="eastAsia" w:ascii="仿宋_GB2312" w:hAnsi="宋体" w:eastAsia="仿宋_GB2312" w:cs="宋体"/>
                <w:color w:val="000000" w:themeColor="text1"/>
                <w:kern w:val="0"/>
                <w:sz w:val="20"/>
                <w:szCs w:val="20"/>
                <w:highlight w:val="none"/>
                <w:lang w:val="en-US" w:eastAsia="zh-CN"/>
                <w14:textFill>
                  <w14:solidFill>
                    <w14:schemeClr w14:val="tx1"/>
                  </w14:solidFill>
                </w14:textFill>
              </w:rPr>
              <w:t>2分。</w:t>
            </w:r>
          </w:p>
        </w:tc>
        <w:tc>
          <w:tcPr>
            <w:tcW w:w="661" w:type="dxa"/>
            <w:noWrap w:val="0"/>
            <w:tcMar>
              <w:top w:w="10" w:type="dxa"/>
              <w:left w:w="10" w:type="dxa"/>
              <w:bottom w:w="0" w:type="dxa"/>
              <w:right w:w="10" w:type="dxa"/>
            </w:tcMar>
            <w:vAlign w:val="center"/>
          </w:tcPr>
          <w:p>
            <w:pPr>
              <w:spacing w:line="320" w:lineRule="exact"/>
              <w:ind w:right="105" w:rightChars="50"/>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85" w:type="dxa"/>
            <w:vMerge w:val="continue"/>
            <w:noWrap/>
            <w:tcMar>
              <w:top w:w="10" w:type="dxa"/>
              <w:left w:w="10" w:type="dxa"/>
              <w:bottom w:w="0" w:type="dxa"/>
              <w:right w:w="10" w:type="dxa"/>
            </w:tcMar>
            <w:textDirection w:val="tbRlV"/>
            <w:vAlign w:val="center"/>
          </w:tcPr>
          <w:p>
            <w:pPr>
              <w:spacing w:line="320" w:lineRule="exact"/>
              <w:jc w:val="center"/>
              <w:rPr>
                <w:rFonts w:hint="eastAsia" w:ascii="仿宋_GB2312" w:eastAsia="仿宋_GB2312"/>
                <w:szCs w:val="21"/>
                <w:highlight w:val="none"/>
              </w:rPr>
            </w:pPr>
          </w:p>
        </w:tc>
        <w:tc>
          <w:tcPr>
            <w:tcW w:w="598" w:type="dxa"/>
            <w:vMerge w:val="continue"/>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结转</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结余率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部门本年度结转结余总额与支出预算数的比率，用以反映和考核部门对本年度结转结余资金的实际控制程度。</w:t>
            </w:r>
          </w:p>
        </w:tc>
        <w:tc>
          <w:tcPr>
            <w:tcW w:w="3582" w:type="dxa"/>
            <w:noWrap w:val="0"/>
            <w:tcMar>
              <w:top w:w="10" w:type="dxa"/>
              <w:left w:w="10" w:type="dxa"/>
              <w:bottom w:w="0" w:type="dxa"/>
              <w:right w:w="10" w:type="dxa"/>
            </w:tcMar>
            <w:vAlign w:val="center"/>
          </w:tcPr>
          <w:p>
            <w:pPr>
              <w:spacing w:line="240" w:lineRule="auto"/>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结转结余率=结转结余总额/支出预算数×100%。结转结余总额：部门本年度的结转资金与结余资金之和（以决算数为准）。</w:t>
            </w:r>
            <w:r>
              <w:rPr>
                <w:rFonts w:hint="eastAsia" w:ascii="仿宋_GB2312" w:hAnsi="宋体" w:eastAsia="仿宋_GB2312" w:cs="宋体"/>
                <w:kern w:val="0"/>
                <w:sz w:val="20"/>
                <w:szCs w:val="20"/>
                <w:highlight w:val="none"/>
              </w:rPr>
              <w:t>结余</w:t>
            </w:r>
            <w:r>
              <w:rPr>
                <w:rFonts w:hint="eastAsia" w:ascii="仿宋_GB2312" w:hAnsi="宋体" w:eastAsia="仿宋_GB2312" w:cs="宋体"/>
                <w:kern w:val="0"/>
                <w:sz w:val="20"/>
                <w:szCs w:val="20"/>
                <w:highlight w:val="none"/>
                <w:lang w:eastAsia="zh-CN"/>
              </w:rPr>
              <w:t>率</w:t>
            </w:r>
            <w:r>
              <w:rPr>
                <w:rFonts w:hint="default" w:ascii="Arial" w:hAnsi="Arial" w:eastAsia="仿宋_GB2312" w:cs="Arial"/>
                <w:kern w:val="0"/>
                <w:sz w:val="20"/>
                <w:szCs w:val="20"/>
                <w:highlight w:val="none"/>
              </w:rPr>
              <w:t>≤</w:t>
            </w:r>
            <w:r>
              <w:rPr>
                <w:rFonts w:hint="eastAsia" w:ascii="仿宋_GB2312" w:hAnsi="宋体" w:eastAsia="仿宋_GB2312" w:cs="宋体"/>
                <w:kern w:val="0"/>
                <w:sz w:val="20"/>
                <w:szCs w:val="20"/>
                <w:highlight w:val="none"/>
                <w:lang w:val="en-US" w:eastAsia="zh-CN"/>
              </w:rPr>
              <w:t>10</w:t>
            </w:r>
            <w:r>
              <w:rPr>
                <w:rFonts w:hint="eastAsia" w:ascii="仿宋_GB2312" w:hAnsi="宋体" w:eastAsia="仿宋_GB2312" w:cs="宋体"/>
                <w:kern w:val="0"/>
                <w:sz w:val="20"/>
                <w:szCs w:val="20"/>
                <w:highlight w:val="none"/>
              </w:rPr>
              <w:t>%的，</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lang w:val="en-US" w:eastAsia="zh-CN"/>
              </w:rPr>
              <w:t>2</w:t>
            </w:r>
            <w:r>
              <w:rPr>
                <w:rFonts w:hint="eastAsia" w:ascii="仿宋_GB2312" w:hAnsi="宋体" w:eastAsia="仿宋_GB2312" w:cs="宋体"/>
                <w:kern w:val="0"/>
                <w:sz w:val="20"/>
                <w:szCs w:val="20"/>
                <w:highlight w:val="none"/>
              </w:rPr>
              <w:t>分；</w:t>
            </w:r>
            <w:r>
              <w:rPr>
                <w:rFonts w:hint="eastAsia" w:ascii="仿宋_GB2312" w:eastAsia="仿宋_GB2312"/>
                <w:szCs w:val="21"/>
                <w:highlight w:val="none"/>
              </w:rPr>
              <w:t>结余</w:t>
            </w:r>
            <w:r>
              <w:rPr>
                <w:rFonts w:hint="eastAsia" w:ascii="仿宋_GB2312" w:eastAsia="仿宋_GB2312"/>
                <w:szCs w:val="21"/>
                <w:highlight w:val="none"/>
                <w:lang w:eastAsia="zh-CN"/>
              </w:rPr>
              <w:t>率&gt;</w:t>
            </w:r>
            <w:r>
              <w:rPr>
                <w:rFonts w:hint="eastAsia" w:ascii="仿宋_GB2312" w:eastAsia="仿宋_GB2312"/>
                <w:szCs w:val="21"/>
                <w:highlight w:val="none"/>
              </w:rPr>
              <w:t>10%（不含），</w:t>
            </w:r>
            <w:r>
              <w:rPr>
                <w:rFonts w:hint="eastAsia" w:ascii="仿宋_GB2312" w:eastAsia="仿宋_GB2312"/>
                <w:szCs w:val="21"/>
                <w:highlight w:val="none"/>
                <w:lang w:val="en-US" w:eastAsia="zh-CN"/>
              </w:rPr>
              <w:t>1</w:t>
            </w:r>
            <w:r>
              <w:rPr>
                <w:rFonts w:hint="eastAsia" w:ascii="仿宋_GB2312" w:eastAsia="仿宋_GB2312"/>
                <w:szCs w:val="21"/>
                <w:highlight w:val="none"/>
              </w:rPr>
              <w:t>分；本年超支</w:t>
            </w:r>
            <w:r>
              <w:rPr>
                <w:rFonts w:hint="eastAsia" w:ascii="仿宋_GB2312" w:eastAsia="仿宋_GB2312"/>
                <w:szCs w:val="21"/>
                <w:highlight w:val="none"/>
                <w:lang w:eastAsia="zh-CN"/>
              </w:rPr>
              <w:t>的，计</w:t>
            </w:r>
            <w:r>
              <w:rPr>
                <w:rFonts w:hint="eastAsia" w:ascii="仿宋_GB2312" w:eastAsia="仿宋_GB2312"/>
                <w:szCs w:val="21"/>
                <w:highlight w:val="none"/>
                <w:lang w:val="en-US" w:eastAsia="zh-CN"/>
              </w:rPr>
              <w:t>0分</w:t>
            </w:r>
            <w:r>
              <w:rPr>
                <w:rFonts w:hint="eastAsia" w:ascii="仿宋_GB2312" w:eastAsia="仿宋_GB2312"/>
                <w:szCs w:val="21"/>
                <w:highlight w:val="none"/>
                <w:lang w:eastAsia="zh-CN"/>
              </w:rPr>
              <w:t>。</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85" w:type="dxa"/>
            <w:vMerge w:val="continue"/>
            <w:tcBorders>
              <w:bottom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tcBorders>
              <w:bottom w:val="nil"/>
            </w:tcBorders>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公用</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经费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部门本年度实际支出的公用经费总额与预算安排的公用经费总额的比率，用以反映和考核部门对机构运转成本的实际控制程度。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公用经费控制率=（实际支出公用经费总额/预算安排公用经费总额）×100%。</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585" w:type="dxa"/>
            <w:vMerge w:val="restart"/>
            <w:tcBorders>
              <w:top w:val="nil"/>
            </w:tcBorders>
            <w:noWrap w:val="0"/>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tcBorders>
              <w:top w:val="nil"/>
            </w:tcBorders>
            <w:noWrap w:val="0"/>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“三公经费”控制率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部门本年度“三公经费”实际支出数与预算安排数的比率，用以反映和考核部门对“三公经费”的实际控制程度。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“三公经费”控制率=（“三公经费”实际支出数/“三公经费”预算安排数）×100%。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政府</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采购</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部门本年度实际政府采购金额与年初政府采购预算的比率，用以反映和考核部门政府采购预算执行情况。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政府采购执行率=（实际政府采购金额/政府采购预算数）×100%；</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rPr>
              <w:t xml:space="preserve">政府采购预算：采购机关根据事业发展计划和行政任务编制的、并经过规定程序批准的年度政府采购计划。 </w:t>
            </w: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=执行率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2分。执行率</w:t>
            </w:r>
            <w:r>
              <w:rPr>
                <w:rFonts w:hint="eastAsia" w:ascii="仿宋" w:hAnsi="仿宋" w:eastAsia="仿宋" w:cs="仿宋"/>
                <w:kern w:val="0"/>
                <w:sz w:val="20"/>
                <w:szCs w:val="20"/>
                <w:highlight w:val="none"/>
                <w:lang w:val="en-US" w:eastAsia="zh-CN"/>
              </w:rPr>
              <w:t>&gt;</w:t>
            </w:r>
            <w:r>
              <w:rPr>
                <w:rFonts w:hint="eastAsia" w:ascii="仿宋_GB2312" w:hAnsi="宋体" w:eastAsia="仿宋_GB2312" w:cs="宋体"/>
                <w:kern w:val="0"/>
                <w:sz w:val="20"/>
                <w:szCs w:val="20"/>
                <w:highlight w:val="none"/>
                <w:lang w:val="en-US" w:eastAsia="zh-CN"/>
              </w:rPr>
              <w:t>1时，计0分。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26分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制度</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健全性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部门为加强预算管理、规范财务行为而制定的管理制度是否健全完整，用以反映和考核部门预算管理制度对完成主要职责或促进事业发展的保障情况。</w:t>
            </w:r>
          </w:p>
        </w:tc>
        <w:tc>
          <w:tcPr>
            <w:tcW w:w="3582" w:type="dxa"/>
            <w:noWrap w:val="0"/>
            <w:tcMar>
              <w:top w:w="10" w:type="dxa"/>
              <w:left w:w="10" w:type="dxa"/>
              <w:bottom w:w="0" w:type="dxa"/>
              <w:right w:w="10" w:type="dxa"/>
            </w:tcMar>
            <w:vAlign w:val="center"/>
          </w:tcPr>
          <w:p>
            <w:pPr>
              <w:widowControl/>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是否已制定或具有预算资金管理办法、内部财务管理制度、会计核算制度等管理制度；</w:t>
            </w:r>
            <w:r>
              <w:rPr>
                <w:rFonts w:hint="eastAsia" w:ascii="仿宋_GB2312" w:hAnsi="宋体" w:eastAsia="仿宋_GB2312" w:cs="宋体"/>
                <w:szCs w:val="21"/>
                <w:highlight w:val="none"/>
              </w:rPr>
              <w:t>②</w:t>
            </w:r>
            <w:r>
              <w:rPr>
                <w:rFonts w:hint="eastAsia" w:ascii="仿宋_GB2312" w:eastAsia="仿宋_GB2312"/>
                <w:szCs w:val="21"/>
                <w:highlight w:val="none"/>
              </w:rPr>
              <w:t>相关管理制度是否合法、合规、完整；③相关管理制度是否得到有效执行。④会计人员、机构</w:t>
            </w:r>
            <w:r>
              <w:rPr>
                <w:rFonts w:hint="eastAsia" w:ascii="仿宋_GB2312" w:eastAsia="仿宋_GB2312"/>
                <w:szCs w:val="21"/>
                <w:highlight w:val="none"/>
                <w:lang w:eastAsia="zh-CN"/>
              </w:rPr>
              <w:t>是否</w:t>
            </w:r>
            <w:r>
              <w:rPr>
                <w:rFonts w:hint="eastAsia" w:ascii="仿宋_GB2312" w:eastAsia="仿宋_GB2312"/>
                <w:szCs w:val="21"/>
                <w:highlight w:val="none"/>
              </w:rPr>
              <w:t>按规定设置；⑤会计基础工作</w:t>
            </w:r>
            <w:r>
              <w:rPr>
                <w:rFonts w:hint="eastAsia" w:ascii="仿宋_GB2312" w:eastAsia="仿宋_GB2312"/>
                <w:szCs w:val="21"/>
                <w:highlight w:val="none"/>
                <w:lang w:eastAsia="zh-CN"/>
              </w:rPr>
              <w:t>是否</w:t>
            </w:r>
            <w:r>
              <w:rPr>
                <w:rFonts w:hint="eastAsia" w:ascii="仿宋_GB2312" w:eastAsia="仿宋_GB2312"/>
                <w:szCs w:val="21"/>
                <w:highlight w:val="none"/>
              </w:rPr>
              <w:t>健全；⑥会计档案</w:t>
            </w:r>
            <w:r>
              <w:rPr>
                <w:rFonts w:hint="eastAsia" w:ascii="仿宋_GB2312" w:eastAsia="仿宋_GB2312"/>
                <w:szCs w:val="21"/>
                <w:highlight w:val="none"/>
                <w:lang w:eastAsia="zh-CN"/>
              </w:rPr>
              <w:t>是否</w:t>
            </w:r>
            <w:r>
              <w:rPr>
                <w:rFonts w:hint="eastAsia" w:ascii="仿宋_GB2312" w:eastAsia="仿宋_GB2312"/>
                <w:szCs w:val="21"/>
                <w:highlight w:val="none"/>
              </w:rPr>
              <w:t>符合规定要求；⑦项目管理</w:t>
            </w:r>
            <w:r>
              <w:rPr>
                <w:rFonts w:hint="eastAsia" w:ascii="仿宋_GB2312" w:eastAsia="仿宋_GB2312"/>
                <w:szCs w:val="21"/>
                <w:highlight w:val="none"/>
                <w:lang w:eastAsia="zh-CN"/>
              </w:rPr>
              <w:t>是否</w:t>
            </w:r>
            <w:r>
              <w:rPr>
                <w:rFonts w:hint="eastAsia" w:ascii="仿宋_GB2312" w:eastAsia="仿宋_GB2312"/>
                <w:szCs w:val="21"/>
                <w:highlight w:val="none"/>
              </w:rPr>
              <w:t>规范（包括项目立项、申报、招投标、</w:t>
            </w:r>
            <w:r>
              <w:rPr>
                <w:rFonts w:hint="eastAsia" w:ascii="仿宋_GB2312" w:eastAsia="仿宋_GB2312"/>
                <w:szCs w:val="21"/>
                <w:highlight w:val="none"/>
                <w:lang w:eastAsia="zh-CN"/>
              </w:rPr>
              <w:t>合同或协议要素、</w:t>
            </w:r>
            <w:r>
              <w:rPr>
                <w:rFonts w:hint="eastAsia" w:ascii="仿宋_GB2312" w:eastAsia="仿宋_GB2312"/>
                <w:szCs w:val="21"/>
                <w:highlight w:val="none"/>
              </w:rPr>
              <w:t>制度建立、按时完工等）</w:t>
            </w:r>
            <w:r>
              <w:rPr>
                <w:rFonts w:hint="eastAsia" w:ascii="仿宋_GB2312" w:eastAsia="仿宋_GB2312"/>
                <w:szCs w:val="21"/>
                <w:highlight w:val="none"/>
                <w:lang w:eastAsia="zh-CN"/>
              </w:rPr>
              <w:t>。</w:t>
            </w:r>
          </w:p>
          <w:p>
            <w:pPr>
              <w:widowControl/>
              <w:rPr>
                <w:rFonts w:hint="eastAsia" w:ascii="仿宋_GB2312" w:eastAsia="仿宋_GB2312"/>
                <w:szCs w:val="21"/>
                <w:highlight w:val="none"/>
              </w:rPr>
            </w:pPr>
            <w:r>
              <w:rPr>
                <w:rFonts w:hint="eastAsia" w:ascii="仿宋_GB2312" w:eastAsia="仿宋_GB2312"/>
                <w:szCs w:val="21"/>
                <w:highlight w:val="none"/>
                <w:lang w:eastAsia="zh-CN"/>
              </w:rPr>
              <w:t>以上情况</w:t>
            </w:r>
            <w:r>
              <w:rPr>
                <w:rFonts w:hint="eastAsia" w:ascii="仿宋_GB2312" w:eastAsia="仿宋_GB2312"/>
                <w:szCs w:val="21"/>
                <w:highlight w:val="none"/>
              </w:rPr>
              <w:t>每发现一</w:t>
            </w:r>
            <w:r>
              <w:rPr>
                <w:rFonts w:hint="eastAsia" w:ascii="仿宋_GB2312" w:eastAsia="仿宋_GB2312"/>
                <w:szCs w:val="21"/>
                <w:highlight w:val="none"/>
                <w:lang w:eastAsia="zh-CN"/>
              </w:rPr>
              <w:t>例不符合要求的</w:t>
            </w:r>
            <w:r>
              <w:rPr>
                <w:rFonts w:hint="eastAsia" w:ascii="仿宋_GB2312" w:eastAsia="仿宋_GB2312"/>
                <w:szCs w:val="21"/>
                <w:highlight w:val="none"/>
              </w:rPr>
              <w:t>扣</w:t>
            </w:r>
            <w:r>
              <w:rPr>
                <w:rFonts w:hint="eastAsia" w:ascii="仿宋_GB2312" w:eastAsia="仿宋_GB2312"/>
                <w:szCs w:val="21"/>
                <w:highlight w:val="none"/>
                <w:lang w:val="en-US" w:eastAsia="zh-CN"/>
              </w:rPr>
              <w:t>1</w:t>
            </w:r>
            <w:r>
              <w:rPr>
                <w:rFonts w:hint="eastAsia" w:ascii="仿宋_GB2312" w:eastAsia="仿宋_GB2312"/>
                <w:szCs w:val="21"/>
                <w:highlight w:val="none"/>
              </w:rPr>
              <w:t>分，扣完为止。</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资金</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使用</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合规性</w:t>
            </w:r>
          </w:p>
        </w:tc>
        <w:tc>
          <w:tcPr>
            <w:tcW w:w="706" w:type="dxa"/>
            <w:noWrap w:val="0"/>
            <w:tcMar>
              <w:top w:w="10" w:type="dxa"/>
              <w:left w:w="10" w:type="dxa"/>
              <w:bottom w:w="0" w:type="dxa"/>
              <w:right w:w="10" w:type="dxa"/>
            </w:tcMar>
            <w:vAlign w:val="center"/>
          </w:tcPr>
          <w:p>
            <w:pPr>
              <w:tabs>
                <w:tab w:val="left" w:pos="2604"/>
              </w:tabs>
              <w:spacing w:line="320" w:lineRule="exact"/>
              <w:ind w:right="105" w:rightChars="50"/>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7分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部门使用预算资金是否符合相关的预算财务管理制度的规定，用以反映和考核部门预算资金的规范运行情况。</w:t>
            </w:r>
          </w:p>
        </w:tc>
        <w:tc>
          <w:tcPr>
            <w:tcW w:w="3582" w:type="dxa"/>
            <w:noWrap w:val="0"/>
            <w:tcMar>
              <w:top w:w="10" w:type="dxa"/>
              <w:left w:w="10" w:type="dxa"/>
              <w:bottom w:w="0" w:type="dxa"/>
              <w:right w:w="10" w:type="dxa"/>
            </w:tcMar>
            <w:vAlign w:val="center"/>
          </w:tcPr>
          <w:p>
            <w:pPr>
              <w:widowControl/>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是否符合国家财经法规和财务管理制度规定以及有关预算支出管理办法的规定；</w:t>
            </w:r>
            <w:r>
              <w:rPr>
                <w:rFonts w:hint="eastAsia" w:ascii="仿宋_GB2312" w:hAnsi="宋体" w:eastAsia="仿宋_GB2312" w:cs="宋体"/>
                <w:szCs w:val="21"/>
                <w:highlight w:val="none"/>
              </w:rPr>
              <w:t>②</w:t>
            </w:r>
            <w:r>
              <w:rPr>
                <w:rFonts w:hint="eastAsia" w:ascii="仿宋_GB2312" w:eastAsia="仿宋_GB2312"/>
                <w:szCs w:val="21"/>
                <w:highlight w:val="none"/>
              </w:rPr>
              <w:t>资金的拨付是否有完整的审批程序和手续；</w:t>
            </w:r>
            <w:r>
              <w:rPr>
                <w:rFonts w:hint="eastAsia" w:ascii="仿宋_GB2312" w:hAnsi="宋体" w:eastAsia="仿宋_GB2312" w:cs="宋体"/>
                <w:szCs w:val="21"/>
                <w:highlight w:val="none"/>
              </w:rPr>
              <w:t>③</w:t>
            </w:r>
            <w:r>
              <w:rPr>
                <w:rFonts w:hint="eastAsia" w:ascii="仿宋_GB2312" w:eastAsia="仿宋_GB2312"/>
                <w:szCs w:val="21"/>
                <w:highlight w:val="none"/>
              </w:rPr>
              <w:t>预算支出的重大开支是否经过</w:t>
            </w:r>
            <w:r>
              <w:rPr>
                <w:rFonts w:hint="eastAsia" w:ascii="仿宋_GB2312" w:hAnsi="仿宋" w:eastAsia="仿宋_GB2312" w:cs="仿宋"/>
                <w:kern w:val="0"/>
                <w:sz w:val="20"/>
                <w:szCs w:val="20"/>
                <w:highlight w:val="none"/>
              </w:rPr>
              <w:t>集体研究决策</w:t>
            </w:r>
            <w:r>
              <w:rPr>
                <w:rFonts w:hint="eastAsia" w:ascii="仿宋_GB2312" w:hAnsi="仿宋" w:eastAsia="仿宋_GB2312" w:cs="仿宋"/>
                <w:kern w:val="0"/>
                <w:sz w:val="20"/>
                <w:szCs w:val="20"/>
                <w:highlight w:val="none"/>
                <w:lang w:eastAsia="zh-CN"/>
              </w:rPr>
              <w:t>或</w:t>
            </w:r>
            <w:r>
              <w:rPr>
                <w:rFonts w:hint="eastAsia" w:ascii="仿宋_GB2312" w:eastAsia="仿宋_GB2312"/>
                <w:szCs w:val="21"/>
                <w:highlight w:val="none"/>
              </w:rPr>
              <w:t>评估论证；④是否符合部门预算批复的用途；⑤是否存在截留、挤占、挪用、虚列支出</w:t>
            </w:r>
            <w:r>
              <w:rPr>
                <w:rFonts w:hint="eastAsia" w:ascii="仿宋_GB2312" w:eastAsia="仿宋_GB2312"/>
                <w:szCs w:val="21"/>
                <w:highlight w:val="none"/>
                <w:lang w:eastAsia="zh-CN"/>
              </w:rPr>
              <w:t>、</w:t>
            </w:r>
            <w:r>
              <w:rPr>
                <w:rFonts w:hint="eastAsia" w:ascii="仿宋_GB2312" w:eastAsia="仿宋_GB2312"/>
                <w:szCs w:val="21"/>
                <w:highlight w:val="none"/>
              </w:rPr>
              <w:t>随意借用、大额现金支付等情况</w:t>
            </w:r>
            <w:r>
              <w:rPr>
                <w:rFonts w:hint="eastAsia" w:ascii="仿宋_GB2312" w:eastAsia="仿宋_GB2312"/>
                <w:szCs w:val="21"/>
                <w:highlight w:val="none"/>
                <w:lang w:eastAsia="zh-CN"/>
              </w:rPr>
              <w:t>；</w:t>
            </w:r>
            <w:r>
              <w:rPr>
                <w:rFonts w:hint="eastAsia" w:ascii="仿宋_GB2312" w:eastAsia="仿宋_GB2312"/>
                <w:szCs w:val="21"/>
                <w:highlight w:val="none"/>
              </w:rPr>
              <w:t>⑥原始凭证的取得真实有效；⑦无超标准发放津补贴、奖金，无用公款支付应由个人支付的款项。</w:t>
            </w:r>
          </w:p>
          <w:p>
            <w:pPr>
              <w:widowControl/>
              <w:rPr>
                <w:rFonts w:hint="default" w:ascii="仿宋_GB2312" w:eastAsia="仿宋_GB2312"/>
                <w:szCs w:val="21"/>
                <w:highlight w:val="none"/>
                <w:lang w:val="en-US"/>
              </w:rPr>
            </w:pPr>
            <w:r>
              <w:rPr>
                <w:rFonts w:hint="eastAsia" w:ascii="仿宋_GB2312" w:hAnsi="仿宋" w:eastAsia="仿宋_GB2312" w:cs="仿宋"/>
                <w:kern w:val="0"/>
                <w:sz w:val="20"/>
                <w:szCs w:val="20"/>
                <w:highlight w:val="none"/>
              </w:rPr>
              <w:t>以上情况每出现一例不</w:t>
            </w:r>
            <w:r>
              <w:rPr>
                <w:rFonts w:hint="eastAsia" w:ascii="仿宋_GB2312" w:hAnsi="宋体" w:eastAsia="仿宋_GB2312" w:cs="宋体"/>
                <w:kern w:val="0"/>
                <w:sz w:val="20"/>
                <w:szCs w:val="20"/>
                <w:highlight w:val="none"/>
              </w:rPr>
              <w:t>符合要求的扣</w:t>
            </w:r>
            <w:r>
              <w:rPr>
                <w:rFonts w:hint="eastAsia" w:ascii="仿宋_GB2312" w:hAnsi="宋体" w:eastAsia="仿宋_GB2312" w:cs="宋体"/>
                <w:kern w:val="0"/>
                <w:sz w:val="20"/>
                <w:szCs w:val="20"/>
                <w:highlight w:val="none"/>
                <w:lang w:val="en-US" w:eastAsia="zh-CN"/>
              </w:rPr>
              <w:t>1</w:t>
            </w:r>
            <w:r>
              <w:rPr>
                <w:rFonts w:hint="eastAsia" w:ascii="仿宋_GB2312" w:hAnsi="宋体" w:eastAsia="仿宋_GB2312" w:cs="宋体"/>
                <w:kern w:val="0"/>
                <w:sz w:val="20"/>
                <w:szCs w:val="20"/>
                <w:highlight w:val="none"/>
              </w:rPr>
              <w:t>分，扣完为止。</w:t>
            </w:r>
            <w:r>
              <w:rPr>
                <w:rFonts w:hint="eastAsia" w:ascii="仿宋_GB2312" w:hAnsi="宋体" w:eastAsia="仿宋_GB2312" w:cs="宋体"/>
                <w:kern w:val="0"/>
                <w:sz w:val="20"/>
                <w:szCs w:val="20"/>
                <w:highlight w:val="none"/>
                <w:lang w:val="en-US" w:eastAsia="zh-CN"/>
              </w:rPr>
              <w:t>如果被评价单位在</w:t>
            </w:r>
            <w:r>
              <w:rPr>
                <w:rFonts w:hint="eastAsia" w:ascii="仿宋_GB2312" w:eastAsia="仿宋_GB2312"/>
                <w:szCs w:val="21"/>
                <w:highlight w:val="none"/>
                <w:lang w:eastAsia="zh-CN"/>
              </w:rPr>
              <w:t>评价年度</w:t>
            </w:r>
            <w:r>
              <w:rPr>
                <w:rFonts w:hint="eastAsia" w:ascii="仿宋_GB2312" w:eastAsia="仿宋_GB2312"/>
                <w:szCs w:val="21"/>
                <w:highlight w:val="none"/>
                <w:lang w:val="en-US" w:eastAsia="zh-CN"/>
              </w:rPr>
              <w:t>内</w:t>
            </w:r>
            <w:r>
              <w:rPr>
                <w:rFonts w:hint="eastAsia" w:ascii="仿宋_GB2312" w:eastAsia="仿宋_GB2312"/>
                <w:szCs w:val="21"/>
                <w:highlight w:val="none"/>
                <w:lang w:eastAsia="zh-CN"/>
              </w:rPr>
              <w:t>资金</w:t>
            </w:r>
            <w:r>
              <w:rPr>
                <w:rFonts w:hint="eastAsia" w:ascii="仿宋_GB2312" w:eastAsia="仿宋_GB2312"/>
                <w:szCs w:val="21"/>
                <w:highlight w:val="none"/>
                <w:lang w:val="en-US" w:eastAsia="zh-CN"/>
              </w:rPr>
              <w:t>管理、</w:t>
            </w:r>
            <w:r>
              <w:rPr>
                <w:rFonts w:hint="eastAsia" w:ascii="仿宋_GB2312" w:eastAsia="仿宋_GB2312"/>
                <w:szCs w:val="21"/>
                <w:highlight w:val="none"/>
                <w:lang w:eastAsia="zh-CN"/>
              </w:rPr>
              <w:t>使用</w:t>
            </w:r>
            <w:r>
              <w:rPr>
                <w:rFonts w:hint="eastAsia" w:ascii="仿宋_GB2312" w:eastAsia="仿宋_GB2312"/>
                <w:szCs w:val="21"/>
                <w:highlight w:val="none"/>
                <w:lang w:val="en-US" w:eastAsia="zh-CN"/>
              </w:rPr>
              <w:t>方面出现</w:t>
            </w:r>
            <w:r>
              <w:rPr>
                <w:rFonts w:hint="eastAsia" w:ascii="仿宋_GB2312" w:eastAsia="仿宋_GB2312"/>
                <w:szCs w:val="21"/>
                <w:highlight w:val="none"/>
                <w:lang w:eastAsia="zh-CN"/>
              </w:rPr>
              <w:t>严重违纪违法问题或</w:t>
            </w:r>
            <w:r>
              <w:rPr>
                <w:rFonts w:hint="eastAsia" w:ascii="仿宋_GB2312" w:eastAsia="仿宋_GB2312"/>
                <w:szCs w:val="21"/>
                <w:highlight w:val="none"/>
                <w:lang w:val="en-US" w:eastAsia="zh-CN"/>
              </w:rPr>
              <w:t>发生</w:t>
            </w:r>
            <w:r>
              <w:rPr>
                <w:rFonts w:hint="eastAsia" w:ascii="仿宋_GB2312" w:eastAsia="仿宋_GB2312"/>
                <w:szCs w:val="21"/>
                <w:highlight w:val="none"/>
                <w:lang w:eastAsia="zh-CN"/>
              </w:rPr>
              <w:t>被纪检</w:t>
            </w:r>
            <w:r>
              <w:rPr>
                <w:rFonts w:hint="eastAsia" w:ascii="仿宋_GB2312" w:eastAsia="仿宋_GB2312"/>
                <w:szCs w:val="21"/>
                <w:highlight w:val="none"/>
                <w:lang w:val="en-US" w:eastAsia="zh-CN"/>
              </w:rPr>
              <w:t>监察</w:t>
            </w:r>
            <w:r>
              <w:rPr>
                <w:rFonts w:hint="eastAsia" w:ascii="仿宋_GB2312" w:eastAsia="仿宋_GB2312"/>
                <w:szCs w:val="21"/>
                <w:highlight w:val="none"/>
                <w:lang w:eastAsia="zh-CN"/>
              </w:rPr>
              <w:t>、司法等部门处理的</w:t>
            </w:r>
            <w:r>
              <w:rPr>
                <w:rFonts w:hint="eastAsia" w:ascii="仿宋_GB2312" w:eastAsia="仿宋_GB2312"/>
                <w:szCs w:val="21"/>
                <w:highlight w:val="none"/>
                <w:lang w:val="en-US" w:eastAsia="zh-CN"/>
              </w:rPr>
              <w:t>事件</w:t>
            </w:r>
            <w:r>
              <w:rPr>
                <w:rFonts w:hint="eastAsia" w:ascii="仿宋_GB2312" w:eastAsia="仿宋_GB2312"/>
                <w:szCs w:val="21"/>
                <w:highlight w:val="none"/>
                <w:lang w:eastAsia="zh-CN"/>
              </w:rPr>
              <w:t>，则该项计</w:t>
            </w:r>
            <w:r>
              <w:rPr>
                <w:rFonts w:hint="eastAsia" w:ascii="仿宋_GB2312" w:eastAsia="仿宋_GB2312"/>
                <w:szCs w:val="21"/>
                <w:highlight w:val="none"/>
                <w:lang w:val="en-US" w:eastAsia="zh-CN"/>
              </w:rPr>
              <w:t>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585" w:type="dxa"/>
            <w:vMerge w:val="continue"/>
            <w:tcBorders>
              <w:bottom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tcBorders>
              <w:bottom w:val="nil"/>
            </w:tcBorders>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预决算信息</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公开性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部门是否按照政府信息公开有关规定公开相关预决算信息，用以反映和考核部门预决算管理的公开透明情况。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①</w:t>
            </w:r>
            <w:r>
              <w:rPr>
                <w:rFonts w:hint="eastAsia" w:ascii="仿宋_GB2312" w:eastAsia="仿宋_GB2312"/>
                <w:szCs w:val="21"/>
                <w:highlight w:val="none"/>
                <w:lang w:eastAsia="zh-CN"/>
              </w:rPr>
              <w:t>公开的内容是否完整、准确</w:t>
            </w:r>
            <w:r>
              <w:rPr>
                <w:rFonts w:hint="eastAsia" w:ascii="仿宋_GB2312" w:eastAsia="仿宋_GB2312"/>
                <w:szCs w:val="21"/>
                <w:highlight w:val="none"/>
              </w:rPr>
              <w:t>；</w:t>
            </w:r>
            <w:r>
              <w:rPr>
                <w:rFonts w:hint="eastAsia" w:ascii="仿宋_GB2312" w:hAnsi="宋体" w:eastAsia="仿宋_GB2312" w:cs="宋体"/>
                <w:szCs w:val="21"/>
                <w:highlight w:val="none"/>
              </w:rPr>
              <w:t>②</w:t>
            </w:r>
            <w:r>
              <w:rPr>
                <w:rFonts w:hint="eastAsia" w:ascii="仿宋_GB2312" w:hAnsi="宋体" w:eastAsia="仿宋_GB2312" w:cs="宋体"/>
                <w:szCs w:val="21"/>
                <w:highlight w:val="none"/>
                <w:lang w:eastAsia="zh-CN"/>
              </w:rPr>
              <w:t>公开时间</w:t>
            </w:r>
            <w:r>
              <w:rPr>
                <w:rFonts w:hint="eastAsia" w:ascii="仿宋_GB2312" w:eastAsia="仿宋_GB2312"/>
                <w:szCs w:val="21"/>
                <w:highlight w:val="none"/>
              </w:rPr>
              <w:t>是否</w:t>
            </w:r>
            <w:r>
              <w:rPr>
                <w:rFonts w:hint="eastAsia" w:ascii="仿宋_GB2312" w:eastAsia="仿宋_GB2312"/>
                <w:szCs w:val="21"/>
                <w:highlight w:val="none"/>
                <w:lang w:eastAsia="zh-CN"/>
              </w:rPr>
              <w:t>及时。</w:t>
            </w:r>
            <w:r>
              <w:rPr>
                <w:rFonts w:hint="eastAsia" w:ascii="仿宋_GB2312" w:eastAsia="仿宋_GB2312"/>
                <w:szCs w:val="21"/>
                <w:highlight w:val="none"/>
              </w:rPr>
              <w:t>预决算信息</w:t>
            </w:r>
            <w:r>
              <w:rPr>
                <w:rFonts w:hint="eastAsia" w:ascii="仿宋_GB2312" w:eastAsia="仿宋_GB2312"/>
                <w:szCs w:val="21"/>
                <w:highlight w:val="none"/>
                <w:lang w:eastAsia="zh-CN"/>
              </w:rPr>
              <w:t>公开</w:t>
            </w:r>
            <w:r>
              <w:rPr>
                <w:rFonts w:hint="eastAsia" w:ascii="仿宋_GB2312" w:eastAsia="仿宋_GB2312"/>
                <w:szCs w:val="21"/>
                <w:highlight w:val="none"/>
              </w:rPr>
              <w:t>是指与部门预算、决算</w:t>
            </w:r>
            <w:r>
              <w:rPr>
                <w:rFonts w:hint="eastAsia" w:ascii="仿宋_GB2312" w:eastAsia="仿宋_GB2312"/>
                <w:szCs w:val="21"/>
                <w:highlight w:val="none"/>
                <w:lang w:val="en-US" w:eastAsia="zh-CN"/>
              </w:rPr>
              <w:t>的公开和</w:t>
            </w:r>
            <w:r>
              <w:rPr>
                <w:rFonts w:hint="eastAsia" w:ascii="仿宋_GB2312" w:eastAsia="仿宋_GB2312"/>
                <w:szCs w:val="21"/>
                <w:highlight w:val="none"/>
                <w:lang w:eastAsia="zh-CN"/>
              </w:rPr>
              <w:t>绩效目标、</w:t>
            </w:r>
            <w:r>
              <w:rPr>
                <w:rFonts w:hint="eastAsia" w:ascii="仿宋_GB2312" w:eastAsia="仿宋_GB2312"/>
                <w:szCs w:val="21"/>
                <w:highlight w:val="none"/>
                <w:lang w:val="en-US" w:eastAsia="zh-CN"/>
              </w:rPr>
              <w:t>绩效</w:t>
            </w:r>
            <w:r>
              <w:rPr>
                <w:rFonts w:hint="eastAsia" w:ascii="仿宋_GB2312" w:eastAsia="仿宋_GB2312"/>
                <w:szCs w:val="21"/>
                <w:highlight w:val="none"/>
                <w:lang w:eastAsia="zh-CN"/>
              </w:rPr>
              <w:t>评价报告</w:t>
            </w:r>
            <w:r>
              <w:rPr>
                <w:rFonts w:hint="eastAsia" w:ascii="仿宋_GB2312" w:eastAsia="仿宋_GB2312"/>
                <w:szCs w:val="21"/>
                <w:highlight w:val="none"/>
              </w:rPr>
              <w:t>等信息</w:t>
            </w:r>
            <w:r>
              <w:rPr>
                <w:rFonts w:hint="eastAsia" w:ascii="仿宋_GB2312" w:eastAsia="仿宋_GB2312"/>
                <w:szCs w:val="21"/>
                <w:highlight w:val="none"/>
                <w:lang w:val="en-US" w:eastAsia="zh-CN"/>
              </w:rPr>
              <w:t>的</w:t>
            </w:r>
            <w:r>
              <w:rPr>
                <w:rFonts w:hint="eastAsia" w:ascii="仿宋_GB2312" w:eastAsia="仿宋_GB2312"/>
                <w:szCs w:val="21"/>
                <w:highlight w:val="none"/>
                <w:lang w:eastAsia="zh-CN"/>
              </w:rPr>
              <w:t>公开</w:t>
            </w:r>
            <w:r>
              <w:rPr>
                <w:rFonts w:hint="eastAsia" w:ascii="仿宋_GB2312" w:eastAsia="仿宋_GB2312"/>
                <w:szCs w:val="21"/>
                <w:highlight w:val="none"/>
              </w:rPr>
              <w:t>。</w:t>
            </w:r>
          </w:p>
          <w:p>
            <w:pPr>
              <w:spacing w:line="320" w:lineRule="exact"/>
              <w:ind w:left="105" w:leftChars="50" w:right="105" w:rightChars="50"/>
              <w:rPr>
                <w:rFonts w:hint="eastAsia" w:ascii="仿宋_GB2312" w:eastAsia="仿宋_GB2312"/>
                <w:szCs w:val="21"/>
                <w:highlight w:val="none"/>
              </w:rPr>
            </w:pPr>
            <w:r>
              <w:rPr>
                <w:rFonts w:hint="eastAsia" w:ascii="仿宋_GB2312" w:hAnsi="仿宋" w:eastAsia="仿宋_GB2312" w:cs="仿宋"/>
                <w:kern w:val="0"/>
                <w:sz w:val="20"/>
                <w:szCs w:val="20"/>
                <w:highlight w:val="none"/>
              </w:rPr>
              <w:t>以上情况每出现一例不</w:t>
            </w:r>
            <w:r>
              <w:rPr>
                <w:rFonts w:hint="eastAsia" w:ascii="仿宋_GB2312" w:hAnsi="宋体" w:eastAsia="仿宋_GB2312" w:cs="宋体"/>
                <w:kern w:val="0"/>
                <w:sz w:val="20"/>
                <w:szCs w:val="20"/>
                <w:highlight w:val="none"/>
              </w:rPr>
              <w:t>符合要求的扣</w:t>
            </w:r>
            <w:r>
              <w:rPr>
                <w:rFonts w:hint="eastAsia" w:ascii="仿宋_GB2312" w:hAnsi="宋体" w:eastAsia="仿宋_GB2312" w:cs="宋体"/>
                <w:kern w:val="0"/>
                <w:sz w:val="20"/>
                <w:szCs w:val="20"/>
                <w:highlight w:val="none"/>
                <w:lang w:val="en-US" w:eastAsia="zh-CN"/>
              </w:rPr>
              <w:t>2</w:t>
            </w:r>
            <w:r>
              <w:rPr>
                <w:rFonts w:hint="eastAsia" w:ascii="仿宋_GB2312" w:hAnsi="宋体" w:eastAsia="仿宋_GB2312" w:cs="宋体"/>
                <w:kern w:val="0"/>
                <w:sz w:val="20"/>
                <w:szCs w:val="20"/>
                <w:highlight w:val="none"/>
              </w:rPr>
              <w:t>分，扣完为止。</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585" w:type="dxa"/>
            <w:vMerge w:val="restart"/>
            <w:tcBorders>
              <w:top w:val="nil"/>
            </w:tcBorders>
            <w:noWrap w:val="0"/>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tcBorders>
              <w:top w:val="nil"/>
            </w:tcBorders>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基础</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信息</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完善性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部门基础信息是否完善，用以反映和考核基础信息对预算管理工作的支撑情况。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基础数据信息和会计信息资料是否真实</w:t>
            </w:r>
            <w:r>
              <w:rPr>
                <w:rFonts w:hint="eastAsia" w:ascii="仿宋_GB2312" w:eastAsia="仿宋_GB2312"/>
                <w:szCs w:val="21"/>
                <w:highlight w:val="none"/>
                <w:lang w:eastAsia="zh-CN"/>
              </w:rPr>
              <w:t>、</w:t>
            </w:r>
            <w:r>
              <w:rPr>
                <w:rFonts w:hint="eastAsia" w:ascii="仿宋_GB2312" w:eastAsia="仿宋_GB2312"/>
                <w:szCs w:val="21"/>
                <w:highlight w:val="none"/>
              </w:rPr>
              <w:t>完整</w:t>
            </w:r>
            <w:r>
              <w:rPr>
                <w:rFonts w:hint="eastAsia" w:ascii="仿宋_GB2312" w:eastAsia="仿宋_GB2312"/>
                <w:szCs w:val="21"/>
                <w:highlight w:val="none"/>
                <w:lang w:eastAsia="zh-CN"/>
              </w:rPr>
              <w:t>、</w:t>
            </w:r>
            <w:r>
              <w:rPr>
                <w:rFonts w:hint="eastAsia" w:ascii="仿宋_GB2312" w:eastAsia="仿宋_GB2312"/>
                <w:szCs w:val="21"/>
                <w:highlight w:val="none"/>
              </w:rPr>
              <w:t>准确。</w:t>
            </w:r>
          </w:p>
          <w:p>
            <w:pPr>
              <w:spacing w:line="320" w:lineRule="exact"/>
              <w:ind w:left="105" w:leftChars="50" w:right="105" w:rightChars="50"/>
              <w:rPr>
                <w:rFonts w:hint="eastAsia" w:ascii="仿宋_GB2312" w:eastAsia="仿宋_GB2312"/>
                <w:szCs w:val="21"/>
                <w:highlight w:val="none"/>
              </w:rPr>
            </w:pPr>
            <w:r>
              <w:rPr>
                <w:rFonts w:hint="eastAsia" w:ascii="仿宋_GB2312" w:hAnsi="仿宋" w:eastAsia="仿宋_GB2312" w:cs="仿宋"/>
                <w:kern w:val="0"/>
                <w:sz w:val="20"/>
                <w:szCs w:val="20"/>
                <w:highlight w:val="none"/>
              </w:rPr>
              <w:t>以上情况每出现一例不</w:t>
            </w:r>
            <w:r>
              <w:rPr>
                <w:rFonts w:hint="eastAsia" w:ascii="仿宋_GB2312" w:hAnsi="宋体" w:eastAsia="仿宋_GB2312" w:cs="宋体"/>
                <w:kern w:val="0"/>
                <w:sz w:val="20"/>
                <w:szCs w:val="20"/>
                <w:highlight w:val="none"/>
              </w:rPr>
              <w:t>符合要求的扣</w:t>
            </w:r>
            <w:r>
              <w:rPr>
                <w:rFonts w:hint="eastAsia" w:ascii="仿宋_GB2312" w:hAnsi="宋体" w:eastAsia="仿宋_GB2312" w:cs="宋体"/>
                <w:kern w:val="0"/>
                <w:sz w:val="20"/>
                <w:szCs w:val="20"/>
                <w:highlight w:val="none"/>
                <w:lang w:val="en-US" w:eastAsia="zh-CN"/>
              </w:rPr>
              <w:t>1</w:t>
            </w:r>
            <w:r>
              <w:rPr>
                <w:rFonts w:hint="eastAsia" w:ascii="仿宋_GB2312" w:hAnsi="宋体" w:eastAsia="仿宋_GB2312" w:cs="宋体"/>
                <w:kern w:val="0"/>
                <w:sz w:val="20"/>
                <w:szCs w:val="20"/>
                <w:highlight w:val="none"/>
              </w:rPr>
              <w:t>分，扣完为止。</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hAnsi="宋体" w:eastAsia="仿宋_GB2312" w:cs="宋体"/>
                <w:kern w:val="0"/>
                <w:sz w:val="20"/>
                <w:szCs w:val="20"/>
                <w:highlight w:val="none"/>
              </w:rPr>
              <w:t>非税 收入 管理</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eastAsia="zh-CN"/>
              </w:rPr>
            </w:pPr>
            <w:r>
              <w:rPr>
                <w:rFonts w:hint="eastAsia" w:ascii="仿宋_GB2312" w:eastAsia="仿宋_GB2312"/>
                <w:szCs w:val="21"/>
                <w:highlight w:val="none"/>
                <w:lang w:eastAsia="zh-CN"/>
              </w:rPr>
              <w:t>反映部门非税收入的使用、管理情况。</w:t>
            </w:r>
          </w:p>
        </w:tc>
        <w:tc>
          <w:tcPr>
            <w:tcW w:w="3582" w:type="dxa"/>
            <w:noWrap w:val="0"/>
            <w:tcMar>
              <w:top w:w="10" w:type="dxa"/>
              <w:left w:w="10" w:type="dxa"/>
              <w:bottom w:w="0" w:type="dxa"/>
              <w:right w:w="10" w:type="dxa"/>
            </w:tcMar>
            <w:vAlign w:val="center"/>
          </w:tcPr>
          <w:p>
            <w:pPr>
              <w:widowControl/>
              <w:jc w:val="left"/>
              <w:rPr>
                <w:rFonts w:hint="default" w:ascii="仿宋_GB2312" w:hAnsi="仿宋" w:eastAsia="仿宋_GB2312" w:cs="仿宋"/>
                <w:kern w:val="0"/>
                <w:sz w:val="20"/>
                <w:szCs w:val="20"/>
                <w:highlight w:val="none"/>
                <w:lang w:val="en-US" w:eastAsia="zh-CN"/>
              </w:rPr>
            </w:pPr>
            <w:r>
              <w:rPr>
                <w:rFonts w:hint="eastAsia" w:ascii="仿宋_GB2312" w:hAnsi="宋体" w:eastAsia="仿宋_GB2312" w:cs="宋体"/>
                <w:kern w:val="0"/>
                <w:sz w:val="20"/>
                <w:szCs w:val="20"/>
                <w:highlight w:val="none"/>
              </w:rPr>
              <w:t>①实行收支两条线，</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rPr>
              <w:t>1分</w:t>
            </w:r>
            <w:r>
              <w:rPr>
                <w:rFonts w:hint="eastAsia" w:ascii="仿宋_GB2312" w:hAnsi="宋体" w:eastAsia="仿宋_GB2312" w:cs="宋体"/>
                <w:kern w:val="0"/>
                <w:sz w:val="20"/>
                <w:szCs w:val="20"/>
                <w:highlight w:val="none"/>
                <w:lang w:eastAsia="zh-CN"/>
              </w:rPr>
              <w:t>，否则，计</w:t>
            </w:r>
            <w:r>
              <w:rPr>
                <w:rFonts w:hint="eastAsia" w:ascii="仿宋_GB2312" w:hAnsi="宋体" w:eastAsia="仿宋_GB2312" w:cs="宋体"/>
                <w:kern w:val="0"/>
                <w:sz w:val="20"/>
                <w:szCs w:val="20"/>
                <w:highlight w:val="none"/>
                <w:lang w:val="en-US" w:eastAsia="zh-CN"/>
              </w:rPr>
              <w:t>0分；</w:t>
            </w:r>
            <w:r>
              <w:rPr>
                <w:rFonts w:hint="eastAsia" w:ascii="仿宋_GB2312" w:hAnsi="宋体" w:eastAsia="仿宋_GB2312" w:cs="宋体"/>
                <w:kern w:val="0"/>
                <w:sz w:val="20"/>
                <w:szCs w:val="20"/>
                <w:highlight w:val="none"/>
              </w:rPr>
              <w:t>②未发生截留、坐支或转移，</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rPr>
              <w:t>1分</w:t>
            </w:r>
            <w:r>
              <w:rPr>
                <w:rFonts w:hint="eastAsia" w:ascii="仿宋_GB2312" w:hAnsi="宋体" w:eastAsia="仿宋_GB2312" w:cs="宋体"/>
                <w:kern w:val="0"/>
                <w:sz w:val="20"/>
                <w:szCs w:val="20"/>
                <w:highlight w:val="none"/>
                <w:lang w:eastAsia="zh-CN"/>
              </w:rPr>
              <w:t>，否则，计</w:t>
            </w:r>
            <w:r>
              <w:rPr>
                <w:rFonts w:hint="eastAsia" w:ascii="仿宋_GB2312" w:hAnsi="宋体" w:eastAsia="仿宋_GB2312" w:cs="宋体"/>
                <w:kern w:val="0"/>
                <w:sz w:val="20"/>
                <w:szCs w:val="20"/>
                <w:highlight w:val="none"/>
                <w:lang w:val="en-US" w:eastAsia="zh-CN"/>
              </w:rPr>
              <w:t>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585" w:type="dxa"/>
            <w:vMerge w:val="continue"/>
            <w:noWrap/>
            <w:tcMar>
              <w:top w:w="10" w:type="dxa"/>
              <w:left w:w="10" w:type="dxa"/>
              <w:bottom w:w="0" w:type="dxa"/>
              <w:right w:w="10" w:type="dxa"/>
            </w:tcMar>
            <w:textDirection w:val="tbRlV"/>
            <w:vAlign w:val="center"/>
          </w:tcPr>
          <w:p>
            <w:pPr>
              <w:spacing w:line="320" w:lineRule="exact"/>
              <w:jc w:val="center"/>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资产</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制度</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健全性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部门为加强资产管理、规范资产管理行为而制定的管理制度是否健全完整，用以反映和考核部门资产管理制度对完成主要职责或促进社会发展的保障情况。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已制定</w:t>
            </w:r>
            <w:r>
              <w:rPr>
                <w:rFonts w:hint="eastAsia" w:ascii="仿宋_GB2312" w:eastAsia="仿宋_GB2312"/>
                <w:szCs w:val="21"/>
                <w:highlight w:val="none"/>
                <w:lang w:eastAsia="zh-CN"/>
              </w:rPr>
              <w:t>合法、合规、完整的资产管理制度（含流动资产），计</w:t>
            </w:r>
            <w:r>
              <w:rPr>
                <w:rFonts w:hint="eastAsia" w:ascii="仿宋_GB2312" w:eastAsia="仿宋_GB2312"/>
                <w:szCs w:val="21"/>
                <w:highlight w:val="none"/>
                <w:lang w:val="en-US" w:eastAsia="zh-CN"/>
              </w:rPr>
              <w:t>1分，否则，不得分</w:t>
            </w:r>
            <w:r>
              <w:rPr>
                <w:rFonts w:hint="eastAsia" w:ascii="仿宋_GB2312" w:eastAsia="仿宋_GB2312"/>
                <w:szCs w:val="21"/>
                <w:highlight w:val="none"/>
                <w:lang w:eastAsia="zh-CN"/>
              </w:rPr>
              <w:t>。</w:t>
            </w:r>
            <w:r>
              <w:rPr>
                <w:rFonts w:hint="eastAsia" w:ascii="仿宋_GB2312" w:eastAsia="仿宋_GB2312"/>
                <w:szCs w:val="21"/>
                <w:highlight w:val="none"/>
              </w:rPr>
              <w:t xml:space="preserve">        </w:t>
            </w:r>
          </w:p>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③</w:t>
            </w:r>
            <w:r>
              <w:rPr>
                <w:rFonts w:hint="eastAsia" w:ascii="仿宋_GB2312" w:eastAsia="仿宋_GB2312"/>
                <w:szCs w:val="21"/>
                <w:highlight w:val="none"/>
              </w:rPr>
              <w:t>相关资产管理制度得到有效执行</w:t>
            </w:r>
            <w:r>
              <w:rPr>
                <w:rFonts w:hint="eastAsia" w:ascii="仿宋_GB2312" w:eastAsia="仿宋_GB2312"/>
                <w:szCs w:val="21"/>
                <w:highlight w:val="none"/>
                <w:lang w:eastAsia="zh-CN"/>
              </w:rPr>
              <w:t>，计</w:t>
            </w:r>
            <w:r>
              <w:rPr>
                <w:rFonts w:hint="eastAsia" w:ascii="仿宋_GB2312" w:eastAsia="仿宋_GB2312"/>
                <w:szCs w:val="21"/>
                <w:highlight w:val="none"/>
                <w:lang w:val="en-US" w:eastAsia="zh-CN"/>
              </w:rPr>
              <w:t>1分，否则，不得分。</w:t>
            </w:r>
            <w:r>
              <w:rPr>
                <w:rFonts w:hint="eastAsia" w:ascii="仿宋_GB2312" w:eastAsia="仿宋_GB2312"/>
                <w:szCs w:val="21"/>
                <w:highlight w:val="none"/>
              </w:rPr>
              <w:t xml:space="preserve"> </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资产</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安全性</w:t>
            </w:r>
          </w:p>
        </w:tc>
        <w:tc>
          <w:tcPr>
            <w:tcW w:w="706" w:type="dxa"/>
            <w:noWrap w:val="0"/>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noWrap w:val="0"/>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部门的资产是否保存完整、使用合规、配置合理、处置规范、收入及时足额上缴，用以反映和考核部门资产安全运行情况。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hAnsi="仿宋" w:eastAsia="仿宋_GB2312" w:cs="仿宋"/>
                <w:kern w:val="0"/>
                <w:sz w:val="20"/>
                <w:szCs w:val="20"/>
                <w:highlight w:val="none"/>
                <w:lang w:eastAsia="zh-CN"/>
              </w:rPr>
            </w:pPr>
            <w:r>
              <w:rPr>
                <w:rFonts w:hint="eastAsia" w:ascii="仿宋_GB2312" w:hAnsi="宋体" w:eastAsia="仿宋_GB2312" w:cs="宋体"/>
                <w:kern w:val="0"/>
                <w:sz w:val="20"/>
                <w:szCs w:val="20"/>
                <w:highlight w:val="none"/>
              </w:rPr>
              <w:t>①资产保存完整；②资产配置合理</w:t>
            </w:r>
            <w:r>
              <w:rPr>
                <w:rFonts w:hint="eastAsia" w:ascii="仿宋_GB2312" w:hAnsi="宋体" w:eastAsia="仿宋_GB2312" w:cs="宋体"/>
                <w:kern w:val="0"/>
                <w:sz w:val="20"/>
                <w:szCs w:val="20"/>
                <w:highlight w:val="none"/>
                <w:lang w:eastAsia="zh-CN"/>
              </w:rPr>
              <w:t>，</w:t>
            </w:r>
            <w:r>
              <w:rPr>
                <w:rFonts w:hint="eastAsia" w:ascii="仿宋_GB2312" w:hAnsi="宋体" w:eastAsia="仿宋_GB2312" w:cs="宋体"/>
                <w:szCs w:val="21"/>
                <w:highlight w:val="none"/>
              </w:rPr>
              <w:t>资产配置是否按程序采购</w:t>
            </w:r>
            <w:r>
              <w:rPr>
                <w:rFonts w:hint="eastAsia" w:ascii="仿宋_GB2312" w:hAnsi="宋体" w:eastAsia="仿宋_GB2312" w:cs="宋体"/>
                <w:kern w:val="0"/>
                <w:sz w:val="20"/>
                <w:szCs w:val="20"/>
                <w:highlight w:val="none"/>
              </w:rPr>
              <w:t>；③资产处置</w:t>
            </w:r>
            <w:r>
              <w:rPr>
                <w:rFonts w:hint="eastAsia" w:ascii="仿宋_GB2312" w:hAnsi="宋体" w:eastAsia="仿宋_GB2312" w:cs="宋体"/>
                <w:kern w:val="0"/>
                <w:sz w:val="20"/>
                <w:szCs w:val="20"/>
                <w:highlight w:val="none"/>
                <w:lang w:eastAsia="zh-CN"/>
              </w:rPr>
              <w:t>程序</w:t>
            </w:r>
            <w:r>
              <w:rPr>
                <w:rFonts w:hint="eastAsia" w:ascii="仿宋_GB2312" w:hAnsi="宋体" w:eastAsia="仿宋_GB2312" w:cs="宋体"/>
                <w:kern w:val="0"/>
                <w:sz w:val="20"/>
                <w:szCs w:val="20"/>
                <w:highlight w:val="none"/>
              </w:rPr>
              <w:t>规范；④资产账务管理合规，帐实帐卡、账账、账表（决算报表等）相符；⑤资产有偿使用及处置收入及时足额上缴；</w:t>
            </w:r>
            <w:r>
              <w:rPr>
                <w:rFonts w:hint="eastAsia" w:ascii="仿宋_GB2312" w:hAnsi="仿宋" w:eastAsia="仿宋_GB2312" w:cs="仿宋"/>
                <w:kern w:val="0"/>
                <w:sz w:val="20"/>
                <w:szCs w:val="20"/>
                <w:highlight w:val="none"/>
              </w:rPr>
              <w:t>⑥清查盘点：每年至少清查盘点一次；⑦产权明晰，权证齐全；⑧按标准购置固定资产。</w:t>
            </w:r>
          </w:p>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kern w:val="0"/>
                <w:sz w:val="20"/>
                <w:szCs w:val="20"/>
                <w:highlight w:val="none"/>
              </w:rPr>
              <w:t>以上情况每出现一例不符合要求的扣</w:t>
            </w:r>
            <w:r>
              <w:rPr>
                <w:rFonts w:hint="eastAsia" w:ascii="仿宋_GB2312" w:hAnsi="宋体" w:eastAsia="仿宋_GB2312" w:cs="宋体"/>
                <w:kern w:val="0"/>
                <w:sz w:val="20"/>
                <w:szCs w:val="20"/>
                <w:highlight w:val="none"/>
                <w:lang w:val="en-US" w:eastAsia="zh-CN"/>
              </w:rPr>
              <w:t>1</w:t>
            </w:r>
            <w:r>
              <w:rPr>
                <w:rFonts w:hint="eastAsia" w:ascii="仿宋_GB2312" w:hAnsi="宋体" w:eastAsia="仿宋_GB2312" w:cs="宋体"/>
                <w:kern w:val="0"/>
                <w:sz w:val="20"/>
                <w:szCs w:val="20"/>
                <w:highlight w:val="none"/>
              </w:rPr>
              <w:t>分</w:t>
            </w:r>
            <w:r>
              <w:rPr>
                <w:rFonts w:hint="eastAsia" w:ascii="仿宋_GB2312" w:hAnsi="宋体" w:eastAsia="仿宋_GB2312" w:cs="宋体"/>
                <w:kern w:val="0"/>
                <w:sz w:val="20"/>
                <w:szCs w:val="20"/>
                <w:highlight w:val="none"/>
                <w:lang w:eastAsia="zh-CN"/>
              </w:rPr>
              <w:t>，扣完为止。</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固定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资产</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利用率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部门实际在用固定资产总额与所有固定资产总额的比率，用以反映和考核部门固定资产使用效率程度。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固定资产利用率=（实际在用固定资产总额/所有固定资产总额）×100%。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=利用率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85" w:type="dxa"/>
            <w:vMerge w:val="restart"/>
            <w:tcBorders>
              <w:bottom w:val="nil"/>
            </w:tcBorders>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产   出</w:t>
            </w:r>
          </w:p>
          <w:p>
            <w:pPr>
              <w:spacing w:line="320" w:lineRule="exact"/>
              <w:jc w:val="center"/>
              <w:rPr>
                <w:rFonts w:hint="eastAsia" w:ascii="仿宋_GB2312" w:eastAsia="仿宋_GB2312"/>
                <w:szCs w:val="21"/>
                <w:highlight w:val="none"/>
              </w:rPr>
            </w:pP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 xml:space="preserve"> </w:t>
            </w:r>
            <w:r>
              <w:rPr>
                <w:rFonts w:hint="eastAsia" w:ascii="仿宋_GB2312" w:eastAsia="仿宋_GB2312"/>
                <w:szCs w:val="21"/>
                <w:highlight w:val="none"/>
                <w:lang w:val="en-US" w:eastAsia="zh-CN"/>
              </w:rPr>
              <w:t>22分</w:t>
            </w:r>
            <w:r>
              <w:rPr>
                <w:rFonts w:hint="eastAsia" w:ascii="仿宋_GB2312" w:eastAsia="仿宋_GB2312"/>
                <w:szCs w:val="21"/>
                <w:highlight w:val="none"/>
              </w:rPr>
              <w:t xml:space="preserve"> </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职责</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履行</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22分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lang w:eastAsia="zh-CN"/>
              </w:rPr>
              <w:t>部门</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整体</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工作</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质量</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lang w:eastAsia="zh-CN"/>
              </w:rPr>
              <w:t>反映部门党委政府绩效考核评估等级</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val="en-US" w:eastAsia="zh-CN"/>
              </w:rPr>
              <w:t>以市委、市政府绩效</w:t>
            </w:r>
            <w:r>
              <w:rPr>
                <w:rFonts w:hint="eastAsia" w:ascii="仿宋_GB2312" w:eastAsia="仿宋_GB2312"/>
                <w:szCs w:val="21"/>
                <w:highlight w:val="none"/>
              </w:rPr>
              <w:t>效考核评估结果为</w:t>
            </w:r>
            <w:r>
              <w:rPr>
                <w:rFonts w:hint="eastAsia" w:ascii="仿宋_GB2312" w:eastAsia="仿宋_GB2312"/>
                <w:szCs w:val="21"/>
                <w:highlight w:val="none"/>
                <w:lang w:eastAsia="zh-CN"/>
              </w:rPr>
              <w:t>依据：</w:t>
            </w:r>
            <w:r>
              <w:rPr>
                <w:rFonts w:hint="eastAsia" w:ascii="仿宋_GB2312" w:eastAsia="仿宋_GB2312"/>
                <w:szCs w:val="21"/>
                <w:highlight w:val="none"/>
              </w:rPr>
              <w:t>优秀，计</w:t>
            </w:r>
            <w:r>
              <w:rPr>
                <w:rFonts w:hint="eastAsia" w:ascii="仿宋_GB2312" w:eastAsia="仿宋_GB2312"/>
                <w:szCs w:val="21"/>
                <w:highlight w:val="none"/>
                <w:lang w:val="en-US" w:eastAsia="zh-CN"/>
              </w:rPr>
              <w:t>6</w:t>
            </w:r>
            <w:r>
              <w:rPr>
                <w:rFonts w:hint="eastAsia" w:ascii="仿宋_GB2312" w:eastAsia="仿宋_GB2312"/>
                <w:szCs w:val="21"/>
                <w:highlight w:val="none"/>
              </w:rPr>
              <w:t>分；良好，</w:t>
            </w:r>
            <w:r>
              <w:rPr>
                <w:rFonts w:hint="eastAsia" w:ascii="仿宋_GB2312" w:eastAsia="仿宋_GB2312"/>
                <w:szCs w:val="21"/>
                <w:highlight w:val="none"/>
                <w:lang w:val="en-US" w:eastAsia="zh-CN"/>
              </w:rPr>
              <w:t>4</w:t>
            </w:r>
            <w:r>
              <w:rPr>
                <w:rFonts w:hint="eastAsia" w:ascii="仿宋_GB2312" w:eastAsia="仿宋_GB2312"/>
                <w:szCs w:val="21"/>
                <w:highlight w:val="none"/>
              </w:rPr>
              <w:t>分；合格，</w:t>
            </w:r>
            <w:r>
              <w:rPr>
                <w:rFonts w:hint="eastAsia" w:ascii="仿宋_GB2312" w:eastAsia="仿宋_GB2312"/>
                <w:szCs w:val="21"/>
                <w:highlight w:val="none"/>
                <w:lang w:val="en-US" w:eastAsia="zh-CN"/>
              </w:rPr>
              <w:t>2</w:t>
            </w:r>
            <w:r>
              <w:rPr>
                <w:rFonts w:hint="eastAsia" w:ascii="仿宋_GB2312" w:eastAsia="仿宋_GB2312"/>
                <w:szCs w:val="21"/>
                <w:highlight w:val="none"/>
              </w:rPr>
              <w:t>分；不合格，0分。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bookmarkStart w:id="1" w:name="_GoBack"/>
            <w:r>
              <w:rPr>
                <w:rFonts w:hint="eastAsia" w:ascii="仿宋_GB2312" w:eastAsia="仿宋_GB2312"/>
                <w:color w:val="FF0000"/>
                <w:szCs w:val="21"/>
                <w:highlight w:val="none"/>
                <w:lang w:val="en-US" w:eastAsia="zh-CN"/>
              </w:rPr>
              <w:t>4</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5" w:hRule="atLeast"/>
          <w:jc w:val="center"/>
        </w:trPr>
        <w:tc>
          <w:tcPr>
            <w:tcW w:w="585" w:type="dxa"/>
            <w:vMerge w:val="continue"/>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p>
        </w:tc>
        <w:tc>
          <w:tcPr>
            <w:tcW w:w="598" w:type="dxa"/>
            <w:vMerge w:val="continue"/>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val="en-US" w:eastAsia="zh-CN"/>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实际</w:t>
            </w:r>
          </w:p>
          <w:p>
            <w:pPr>
              <w:spacing w:line="320" w:lineRule="exact"/>
              <w:jc w:val="center"/>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rPr>
              <w:t>完成率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rPr>
              <w:t>部门履行职责而实际完成工作数与计划工作数的比率，用以反映和考核部门履职工作任务目标的实现程度。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实际完成率=（实际完成工作数/计划工作数）×100%。实际完成工作数：一定时期（年度或规划期）内部门实际完成工作任务的数量。计划工作数：部门整体绩效目标确定的一定时期（年度或规划期）内预计完成工作任务的数量。</w:t>
            </w:r>
          </w:p>
          <w:p>
            <w:pPr>
              <w:spacing w:line="320" w:lineRule="exact"/>
              <w:ind w:left="105" w:leftChars="50" w:right="105" w:rightChars="50"/>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=完成率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585" w:type="dxa"/>
            <w:vMerge w:val="continue"/>
            <w:tcBorders>
              <w:top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完成</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及时率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部门在规定时限内及时完成的实际工作数与计划工作数的比率,用以反映和考核部门履职时效目标的实现程度。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完成及时率=（及时完成实际工作数/计划工作数）×100%。及时完成实际工作数：部门按照整体绩效目标确定的时限实际完成的工作任务数量。</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=完成及时率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质量</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达标率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达到质量标准（绩效标准值）的实际工作数与计划工作数的比率,用以反映和考核部门履职质量目标的实现程度。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质量达标率=（质量达标实际工作数/计划工作数）×100%。质量达标实际工作数：一定时期（年度或规划期）内部门实际完成工作数中达到部门绩效目标要求（绩效标准值）的工作任务数量。</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=达标率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重点</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工作</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办结率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部门年度重点工作实际完成数与交办或下达数的比率，用以反映部门对重点工作的办理落实程度。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重点工作办结率=（重点工作实际完成数/交办或下达数）×100%。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重点工作是指党委、政府、人大、相关部门交办或下达的工作任务。</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=办结率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效   果</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履职</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效益</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经济</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restart"/>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vMerge w:val="restart"/>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部门履行职责对经济发展</w:t>
            </w:r>
            <w:r>
              <w:rPr>
                <w:rFonts w:hint="eastAsia" w:ascii="仿宋_GB2312" w:eastAsia="仿宋_GB2312"/>
                <w:szCs w:val="21"/>
                <w:highlight w:val="none"/>
                <w:lang w:eastAsia="zh-CN"/>
              </w:rPr>
              <w:t>、社会发展、生态环境</w:t>
            </w:r>
            <w:r>
              <w:rPr>
                <w:rFonts w:hint="eastAsia" w:ascii="仿宋_GB2312" w:eastAsia="仿宋_GB2312"/>
                <w:szCs w:val="21"/>
                <w:highlight w:val="none"/>
              </w:rPr>
              <w:t>所带来的直接或间接影响。</w:t>
            </w:r>
          </w:p>
        </w:tc>
        <w:tc>
          <w:tcPr>
            <w:tcW w:w="3582" w:type="dxa"/>
            <w:vMerge w:val="restart"/>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此三项指标可根据部门实际并结合部门整体支出绩效目标设立情况有选择的进行</w:t>
            </w:r>
            <w:r>
              <w:rPr>
                <w:rFonts w:hint="eastAsia" w:ascii="仿宋_GB2312" w:eastAsia="仿宋_GB2312"/>
                <w:szCs w:val="21"/>
                <w:highlight w:val="none"/>
                <w:lang w:eastAsia="zh-CN"/>
              </w:rPr>
              <w:t>评价。</w:t>
            </w:r>
          </w:p>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=依据</w:t>
            </w:r>
            <w:r>
              <w:rPr>
                <w:rFonts w:hint="eastAsia" w:ascii="仿宋_GB2312" w:eastAsia="仿宋_GB2312"/>
                <w:szCs w:val="21"/>
                <w:highlight w:val="none"/>
                <w:lang w:eastAsia="zh-CN"/>
              </w:rPr>
              <w:t>评价内容相应计</w:t>
            </w:r>
            <w:r>
              <w:rPr>
                <w:rFonts w:hint="eastAsia" w:ascii="仿宋_GB2312" w:hAnsi="宋体" w:eastAsia="仿宋_GB2312" w:cs="宋体"/>
                <w:kern w:val="0"/>
                <w:sz w:val="20"/>
                <w:szCs w:val="20"/>
                <w:highlight w:val="none"/>
                <w:lang w:val="en-US" w:eastAsia="zh-CN"/>
              </w:rPr>
              <w:t>分。</w:t>
            </w: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社会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2239"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3582" w:type="dxa"/>
            <w:vMerge w:val="continue"/>
            <w:noWrap w:val="0"/>
            <w:vAlign w:val="center"/>
          </w:tcPr>
          <w:p>
            <w:pPr>
              <w:spacing w:line="320" w:lineRule="exact"/>
              <w:ind w:left="105" w:leftChars="50" w:right="105" w:rightChars="50"/>
              <w:rPr>
                <w:rFonts w:hint="eastAsia" w:ascii="仿宋_GB2312" w:eastAsia="仿宋_GB2312"/>
                <w:szCs w:val="21"/>
                <w:highlight w:val="none"/>
              </w:rPr>
            </w:pPr>
          </w:p>
        </w:tc>
        <w:tc>
          <w:tcPr>
            <w:tcW w:w="661" w:type="dxa"/>
            <w:noWrap w:val="0"/>
            <w:vAlign w:val="center"/>
          </w:tcPr>
          <w:p>
            <w:pPr>
              <w:spacing w:line="320" w:lineRule="exact"/>
              <w:ind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生态</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2239"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3582" w:type="dxa"/>
            <w:vMerge w:val="continue"/>
            <w:noWrap w:val="0"/>
            <w:vAlign w:val="center"/>
          </w:tcPr>
          <w:p>
            <w:pPr>
              <w:spacing w:line="320" w:lineRule="exact"/>
              <w:ind w:left="105" w:leftChars="50" w:right="105" w:rightChars="50"/>
              <w:rPr>
                <w:rFonts w:hint="eastAsia" w:ascii="仿宋_GB2312" w:eastAsia="仿宋_GB2312"/>
                <w:szCs w:val="21"/>
                <w:highlight w:val="none"/>
              </w:rPr>
            </w:pPr>
          </w:p>
        </w:tc>
        <w:tc>
          <w:tcPr>
            <w:tcW w:w="661" w:type="dxa"/>
            <w:noWrap w:val="0"/>
            <w:vAlign w:val="center"/>
          </w:tcPr>
          <w:p>
            <w:pPr>
              <w:spacing w:line="320" w:lineRule="exact"/>
              <w:ind w:left="105" w:leftChars="50" w:right="105" w:rightChars="50"/>
              <w:rPr>
                <w:rFonts w:hint="eastAsia"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社会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公众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或服务对象</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满意度</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社会公众或部门的服务对象对部门履职效果的满意程度。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社会公众或服务对象是指部门履行职责而影响到的部门、群体或个人。一般采取社会调查的方式</w:t>
            </w:r>
            <w:r>
              <w:rPr>
                <w:rFonts w:hint="eastAsia" w:ascii="仿宋_GB2312" w:hAnsi="宋体" w:eastAsia="仿宋_GB2312" w:cs="宋体"/>
                <w:kern w:val="0"/>
                <w:sz w:val="20"/>
                <w:szCs w:val="20"/>
                <w:highlight w:val="none"/>
              </w:rPr>
              <w:t>(不少于30份)</w:t>
            </w:r>
            <w:r>
              <w:rPr>
                <w:rFonts w:hint="eastAsia" w:ascii="仿宋_GB2312" w:eastAsia="仿宋_GB2312"/>
                <w:szCs w:val="21"/>
                <w:highlight w:val="none"/>
              </w:rPr>
              <w:t>。</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=满意率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8分。</w:t>
            </w:r>
          </w:p>
        </w:tc>
        <w:tc>
          <w:tcPr>
            <w:tcW w:w="661" w:type="dxa"/>
            <w:noWrap w:val="0"/>
            <w:tcMar>
              <w:top w:w="10" w:type="dxa"/>
              <w:left w:w="10" w:type="dxa"/>
              <w:bottom w:w="0" w:type="dxa"/>
              <w:right w:w="10" w:type="dxa"/>
            </w:tcMar>
            <w:vAlign w:val="center"/>
          </w:tcPr>
          <w:p>
            <w:pPr>
              <w:spacing w:line="320" w:lineRule="exact"/>
              <w:ind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858" w:type="dxa"/>
            <w:gridSpan w:val="3"/>
            <w:noWrap w:val="0"/>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b/>
                <w:bCs/>
                <w:szCs w:val="21"/>
                <w:highlight w:val="none"/>
                <w:lang w:eastAsia="zh-CN"/>
              </w:rPr>
              <w:t>合</w:t>
            </w:r>
            <w:r>
              <w:rPr>
                <w:rFonts w:hint="eastAsia" w:ascii="仿宋_GB2312" w:eastAsia="仿宋_GB2312"/>
                <w:b/>
                <w:bCs/>
                <w:szCs w:val="21"/>
                <w:highlight w:val="none"/>
                <w:lang w:val="en-US" w:eastAsia="zh-CN"/>
              </w:rPr>
              <w:t xml:space="preserve"> </w:t>
            </w:r>
            <w:r>
              <w:rPr>
                <w:rFonts w:hint="eastAsia" w:ascii="仿宋_GB2312" w:eastAsia="仿宋_GB2312"/>
                <w:b/>
                <w:bCs/>
                <w:szCs w:val="21"/>
                <w:highlight w:val="none"/>
                <w:lang w:eastAsia="zh-CN"/>
              </w:rPr>
              <w:t>计</w:t>
            </w:r>
          </w:p>
        </w:tc>
        <w:tc>
          <w:tcPr>
            <w:tcW w:w="706" w:type="dxa"/>
            <w:noWrap w:val="0"/>
            <w:tcMar>
              <w:top w:w="10" w:type="dxa"/>
              <w:left w:w="10" w:type="dxa"/>
              <w:bottom w:w="0" w:type="dxa"/>
              <w:right w:w="10" w:type="dxa"/>
            </w:tcMar>
            <w:vAlign w:val="center"/>
          </w:tcPr>
          <w:p>
            <w:pPr>
              <w:tabs>
                <w:tab w:val="left" w:pos="2604"/>
              </w:tabs>
              <w:spacing w:line="320" w:lineRule="exact"/>
              <w:ind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100分</w:t>
            </w:r>
          </w:p>
        </w:tc>
        <w:tc>
          <w:tcPr>
            <w:tcW w:w="5821" w:type="dxa"/>
            <w:gridSpan w:val="2"/>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p>
        </w:tc>
        <w:tc>
          <w:tcPr>
            <w:tcW w:w="661"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color w:val="000000" w:themeColor="text1"/>
                <w:szCs w:val="21"/>
                <w:highlight w:val="none"/>
                <w:lang w:val="en-US" w:eastAsia="zh-CN"/>
                <w14:textFill>
                  <w14:solidFill>
                    <w14:schemeClr w14:val="tx1"/>
                  </w14:solidFill>
                </w14:textFill>
              </w:rPr>
              <w:t>96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78B75"/>
    <w:multiLevelType w:val="singleLevel"/>
    <w:tmpl w:val="96778B75"/>
    <w:lvl w:ilvl="0" w:tentative="0">
      <w:start w:val="1"/>
      <w:numFmt w:val="decimal"/>
      <w:suff w:val="nothing"/>
      <w:lvlText w:val="%1、"/>
      <w:lvlJc w:val="left"/>
      <w:pPr>
        <w:ind w:left="-10"/>
      </w:pPr>
    </w:lvl>
  </w:abstractNum>
  <w:abstractNum w:abstractNumId="1">
    <w:nsid w:val="48EA3F00"/>
    <w:multiLevelType w:val="singleLevel"/>
    <w:tmpl w:val="48EA3F00"/>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mQyYmUwNTAzMzAyMmNlMjQzNzE1NzY4MDNkZTcifQ=="/>
  </w:docVars>
  <w:rsids>
    <w:rsidRoot w:val="00000000"/>
    <w:rsid w:val="21D106FB"/>
    <w:rsid w:val="33A9522B"/>
    <w:rsid w:val="39E2122A"/>
    <w:rsid w:val="3AFC6601"/>
    <w:rsid w:val="3FBE14C3"/>
    <w:rsid w:val="4A2A1DC0"/>
    <w:rsid w:val="53EF7279"/>
    <w:rsid w:val="5DC9484F"/>
    <w:rsid w:val="6B4F651E"/>
    <w:rsid w:val="6D676F10"/>
    <w:rsid w:val="700A7177"/>
    <w:rsid w:val="79733540"/>
    <w:rsid w:val="7CAB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center"/>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rFonts w:ascii="Times New Roman" w:hAnsi="Times New Roman" w:eastAsia="宋体" w:cs="Times New Roman"/>
    </w:rPr>
  </w:style>
  <w:style w:type="paragraph" w:styleId="6">
    <w:name w:val="Body Text First Indent 2"/>
    <w:basedOn w:val="5"/>
    <w:qFormat/>
    <w:uiPriority w:val="0"/>
    <w:pPr>
      <w:spacing w:before="100" w:beforeAutospacing="1" w:after="0"/>
      <w:ind w:left="0"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9975</Words>
  <Characters>11134</Characters>
  <Lines>0</Lines>
  <Paragraphs>0</Paragraphs>
  <TotalTime>153</TotalTime>
  <ScaleCrop>false</ScaleCrop>
  <LinksUpToDate>false</LinksUpToDate>
  <CharactersWithSpaces>11253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盆栽</cp:lastModifiedBy>
  <dcterms:modified xsi:type="dcterms:W3CDTF">2022-07-19T13:57:28Z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440DCC5EE6D6452B8D3A7D168EFA2A10</vt:lpwstr>
  </property>
</Properties>
</file>